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634BDBA3"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90</w:t>
      </w:r>
      <w:r w:rsidR="00D2135C">
        <w:rPr>
          <w:rFonts w:ascii="Arial" w:hAnsi="Arial" w:cs="Arial"/>
          <w:b/>
          <w:sz w:val="24"/>
          <w:szCs w:val="24"/>
        </w:rPr>
        <w:t>bis</w:t>
      </w:r>
      <w:r w:rsidRPr="000A64D8">
        <w:rPr>
          <w:rFonts w:ascii="Arial" w:hAnsi="Arial" w:cs="Arial"/>
          <w:b/>
          <w:sz w:val="24"/>
          <w:szCs w:val="24"/>
        </w:rPr>
        <w:tab/>
      </w:r>
      <w:r w:rsidR="00556F3D" w:rsidRPr="00556F3D">
        <w:rPr>
          <w:rFonts w:ascii="Arial" w:hAnsi="Arial" w:cs="Arial"/>
          <w:b/>
          <w:sz w:val="24"/>
          <w:szCs w:val="24"/>
        </w:rPr>
        <w:t>R1-</w:t>
      </w:r>
      <w:r w:rsidR="00597BD6" w:rsidRPr="005648A0">
        <w:rPr>
          <w:rFonts w:ascii="Arial" w:hAnsi="Arial" w:cs="Arial"/>
          <w:b/>
          <w:sz w:val="24"/>
          <w:szCs w:val="24"/>
        </w:rPr>
        <w:t>17</w:t>
      </w:r>
      <w:r w:rsidR="00597BD6">
        <w:rPr>
          <w:rFonts w:ascii="Arial" w:hAnsi="Arial" w:cs="Arial"/>
          <w:b/>
          <w:sz w:val="24"/>
          <w:szCs w:val="24"/>
        </w:rPr>
        <w:t>18138</w:t>
      </w:r>
    </w:p>
    <w:p w14:paraId="563872CF" w14:textId="7510A3FD" w:rsidR="00605AA3" w:rsidRDefault="00D2135C" w:rsidP="005648A0">
      <w:pPr>
        <w:tabs>
          <w:tab w:val="right" w:pos="9630"/>
        </w:tabs>
        <w:spacing w:after="0"/>
        <w:jc w:val="both"/>
        <w:rPr>
          <w:rFonts w:ascii="Arial" w:hAnsi="Arial" w:cs="Arial"/>
          <w:b/>
          <w:sz w:val="24"/>
          <w:szCs w:val="24"/>
        </w:rPr>
      </w:pPr>
      <w:r>
        <w:rPr>
          <w:rFonts w:ascii="Arial" w:hAnsi="Arial" w:cs="Arial"/>
          <w:b/>
          <w:sz w:val="24"/>
          <w:szCs w:val="24"/>
        </w:rPr>
        <w:t>9</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sidR="009611DA">
        <w:rPr>
          <w:rFonts w:ascii="Arial" w:hAnsi="Arial" w:cs="Arial"/>
          <w:b/>
          <w:sz w:val="24"/>
          <w:szCs w:val="24"/>
        </w:rPr>
        <w:t>–</w:t>
      </w:r>
      <w:r w:rsidR="009611DA" w:rsidRPr="003732BA">
        <w:rPr>
          <w:rFonts w:ascii="Arial" w:hAnsi="Arial" w:cs="Arial"/>
          <w:b/>
          <w:sz w:val="24"/>
          <w:szCs w:val="24"/>
        </w:rPr>
        <w:t xml:space="preserve"> </w:t>
      </w:r>
      <w:r>
        <w:rPr>
          <w:rFonts w:ascii="Arial" w:hAnsi="Arial" w:cs="Arial"/>
          <w:b/>
          <w:sz w:val="24"/>
          <w:szCs w:val="24"/>
        </w:rPr>
        <w:t>13</w:t>
      </w:r>
      <w:r w:rsidR="009611DA" w:rsidRPr="00CA6BDF">
        <w:rPr>
          <w:rFonts w:ascii="Arial" w:hAnsi="Arial" w:cs="Arial"/>
          <w:b/>
          <w:sz w:val="24"/>
          <w:szCs w:val="24"/>
          <w:vertAlign w:val="superscript"/>
        </w:rPr>
        <w:t>th</w:t>
      </w:r>
      <w:r w:rsidR="009611DA">
        <w:rPr>
          <w:rFonts w:ascii="Arial" w:hAnsi="Arial" w:cs="Arial"/>
          <w:b/>
          <w:sz w:val="24"/>
          <w:szCs w:val="24"/>
        </w:rPr>
        <w:t xml:space="preserve"> </w:t>
      </w:r>
      <w:r>
        <w:rPr>
          <w:rFonts w:ascii="Arial" w:hAnsi="Arial" w:cs="Arial"/>
          <w:b/>
          <w:sz w:val="24"/>
          <w:szCs w:val="24"/>
        </w:rPr>
        <w:t>October</w:t>
      </w:r>
      <w:r w:rsidR="009611DA">
        <w:rPr>
          <w:rFonts w:ascii="Arial" w:hAnsi="Arial" w:cs="Arial"/>
          <w:b/>
          <w:sz w:val="24"/>
          <w:szCs w:val="24"/>
        </w:rPr>
        <w:t xml:space="preserve"> 2017</w:t>
      </w:r>
    </w:p>
    <w:p w14:paraId="1866D85A" w14:textId="3C33B554" w:rsidR="009611DA" w:rsidRPr="00FD021C" w:rsidRDefault="00605AA3" w:rsidP="005648A0">
      <w:pPr>
        <w:tabs>
          <w:tab w:val="right" w:pos="9630"/>
        </w:tabs>
        <w:spacing w:after="0"/>
        <w:jc w:val="both"/>
        <w:rPr>
          <w:rFonts w:ascii="Arial" w:hAnsi="Arial" w:cs="Arial"/>
          <w:b/>
          <w:sz w:val="24"/>
          <w:szCs w:val="24"/>
        </w:rPr>
      </w:pPr>
      <w:r>
        <w:rPr>
          <w:rFonts w:ascii="Arial" w:hAnsi="Arial" w:cs="Arial"/>
          <w:b/>
          <w:sz w:val="24"/>
          <w:szCs w:val="24"/>
        </w:rPr>
        <w:t>Prague</w:t>
      </w:r>
      <w:r w:rsidR="009611DA" w:rsidRPr="00CA6BDF">
        <w:rPr>
          <w:rFonts w:ascii="Arial" w:hAnsi="Arial" w:cs="Arial"/>
          <w:b/>
          <w:sz w:val="24"/>
          <w:szCs w:val="24"/>
        </w:rPr>
        <w:t xml:space="preserve">, </w:t>
      </w:r>
      <w:r>
        <w:rPr>
          <w:rFonts w:ascii="Arial" w:hAnsi="Arial" w:cs="Arial"/>
          <w:b/>
          <w:sz w:val="24"/>
          <w:szCs w:val="24"/>
        </w:rPr>
        <w:t>Czech</w:t>
      </w:r>
      <w:r w:rsidR="00902B86">
        <w:rPr>
          <w:rFonts w:ascii="Arial" w:hAnsi="Arial" w:cs="Arial" w:hint="eastAsia"/>
          <w:b/>
          <w:sz w:val="24"/>
          <w:szCs w:val="24"/>
          <w:lang w:eastAsia="zh-CN"/>
        </w:rPr>
        <w:t>ia</w:t>
      </w:r>
    </w:p>
    <w:p w14:paraId="26881B34" w14:textId="77777777" w:rsidR="0068226B" w:rsidRPr="000A64D8" w:rsidRDefault="0068226B" w:rsidP="00480B03">
      <w:pPr>
        <w:pStyle w:val="Footer"/>
        <w:jc w:val="both"/>
        <w:rPr>
          <w:noProof w:val="0"/>
        </w:rPr>
      </w:pPr>
    </w:p>
    <w:p w14:paraId="26881B35" w14:textId="170F6DD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2135C">
        <w:rPr>
          <w:rFonts w:ascii="Arial" w:hAnsi="Arial"/>
          <w:sz w:val="24"/>
        </w:rPr>
        <w:t>6</w:t>
      </w:r>
      <w:r w:rsidR="009A1DC8" w:rsidRPr="009A1DC8">
        <w:rPr>
          <w:rFonts w:ascii="Arial" w:hAnsi="Arial"/>
          <w:sz w:val="24"/>
        </w:rPr>
        <w:t>.2.</w:t>
      </w:r>
      <w:r w:rsidR="00D2135C">
        <w:rPr>
          <w:rFonts w:ascii="Arial" w:hAnsi="Arial"/>
          <w:sz w:val="24"/>
        </w:rPr>
        <w:t>5.</w:t>
      </w:r>
      <w:r w:rsidR="009A1DC8" w:rsidRPr="009A1DC8">
        <w:rPr>
          <w:rFonts w:ascii="Arial" w:hAnsi="Arial"/>
          <w:sz w:val="24"/>
        </w:rPr>
        <w:t>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F06AE51"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1DC8" w:rsidRPr="009A1DC8">
        <w:rPr>
          <w:rFonts w:ascii="Arial" w:hAnsi="Arial"/>
          <w:sz w:val="24"/>
        </w:rPr>
        <w:t>Increased PUSCH spectral efficiency</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2A01699" w14:textId="00389AF0" w:rsidR="00D05A6C" w:rsidRPr="007502A5" w:rsidRDefault="00D05A6C" w:rsidP="00D05A6C">
      <w:pPr>
        <w:pStyle w:val="ListParagraph"/>
        <w:spacing w:after="180"/>
        <w:ind w:left="0"/>
        <w:jc w:val="both"/>
        <w:rPr>
          <w:rFonts w:ascii="Times New Roman" w:hAnsi="Times New Roman"/>
          <w:sz w:val="20"/>
          <w:szCs w:val="20"/>
          <w:lang w:val="en-GB"/>
        </w:rPr>
      </w:pPr>
      <w:r w:rsidRPr="007502A5">
        <w:rPr>
          <w:rFonts w:ascii="Times New Roman" w:hAnsi="Times New Roman"/>
          <w:sz w:val="20"/>
          <w:szCs w:val="20"/>
          <w:lang w:val="en-GB"/>
        </w:rPr>
        <w:t>This Tdoc is a revision of R1-17128</w:t>
      </w:r>
      <w:r>
        <w:rPr>
          <w:rFonts w:ascii="Times New Roman" w:hAnsi="Times New Roman"/>
          <w:sz w:val="20"/>
          <w:szCs w:val="20"/>
          <w:lang w:val="en-GB"/>
        </w:rPr>
        <w:t>03</w:t>
      </w:r>
      <w:r w:rsidRPr="007502A5">
        <w:rPr>
          <w:rFonts w:ascii="Times New Roman" w:hAnsi="Times New Roman"/>
          <w:sz w:val="20"/>
          <w:szCs w:val="20"/>
          <w:lang w:val="en-GB"/>
        </w:rPr>
        <w:t xml:space="preserve"> [</w:t>
      </w:r>
      <w:r>
        <w:rPr>
          <w:rFonts w:ascii="Times New Roman" w:hAnsi="Times New Roman"/>
          <w:sz w:val="20"/>
          <w:szCs w:val="20"/>
          <w:lang w:val="en-GB"/>
        </w:rPr>
        <w:t>5</w:t>
      </w:r>
      <w:r w:rsidRPr="007502A5">
        <w:rPr>
          <w:rFonts w:ascii="Times New Roman" w:hAnsi="Times New Roman"/>
          <w:sz w:val="20"/>
          <w:szCs w:val="20"/>
          <w:lang w:val="en-GB"/>
        </w:rPr>
        <w:t>].</w:t>
      </w:r>
    </w:p>
    <w:p w14:paraId="65FEFD91" w14:textId="5BE71DB6" w:rsidR="00536814" w:rsidRDefault="004E3AF8" w:rsidP="00777CEC">
      <w:pPr>
        <w:pStyle w:val="ListParagraph"/>
        <w:spacing w:after="180"/>
        <w:ind w:left="0"/>
        <w:jc w:val="both"/>
        <w:rPr>
          <w:rFonts w:ascii="Times New Roman" w:hAnsi="Times New Roman"/>
          <w:sz w:val="20"/>
          <w:szCs w:val="20"/>
        </w:rPr>
      </w:pPr>
      <w:r>
        <w:rPr>
          <w:rFonts w:ascii="Times New Roman" w:hAnsi="Times New Roman"/>
          <w:sz w:val="20"/>
          <w:szCs w:val="20"/>
        </w:rPr>
        <w:t xml:space="preserve">In eMTC, current minimum allocation </w:t>
      </w:r>
      <w:r w:rsidR="00BD071D">
        <w:rPr>
          <w:rFonts w:ascii="Times New Roman" w:hAnsi="Times New Roman"/>
          <w:sz w:val="20"/>
          <w:szCs w:val="20"/>
        </w:rPr>
        <w:t>granularity</w:t>
      </w:r>
      <w:r>
        <w:rPr>
          <w:rFonts w:ascii="Times New Roman" w:hAnsi="Times New Roman"/>
          <w:sz w:val="20"/>
          <w:szCs w:val="20"/>
        </w:rPr>
        <w:t xml:space="preserve"> for PUSCH</w:t>
      </w:r>
      <w:r w:rsidR="00BA2B01">
        <w:rPr>
          <w:rFonts w:ascii="Times New Roman" w:hAnsi="Times New Roman"/>
          <w:sz w:val="20"/>
          <w:szCs w:val="20"/>
        </w:rPr>
        <w:t xml:space="preserve"> is</w:t>
      </w:r>
      <w:r>
        <w:rPr>
          <w:rFonts w:ascii="Times New Roman" w:hAnsi="Times New Roman"/>
          <w:sz w:val="20"/>
          <w:szCs w:val="20"/>
        </w:rPr>
        <w:t xml:space="preserve"> </w:t>
      </w:r>
      <w:r w:rsidR="00BD071D">
        <w:rPr>
          <w:rFonts w:ascii="Times New Roman" w:hAnsi="Times New Roman"/>
          <w:sz w:val="20"/>
          <w:szCs w:val="20"/>
        </w:rPr>
        <w:t xml:space="preserve">one </w:t>
      </w:r>
      <w:r w:rsidR="009C5BF4">
        <w:rPr>
          <w:rFonts w:ascii="Times New Roman" w:hAnsi="Times New Roman"/>
          <w:sz w:val="20"/>
          <w:szCs w:val="20"/>
        </w:rPr>
        <w:t>P</w:t>
      </w:r>
      <w:r>
        <w:rPr>
          <w:rFonts w:ascii="Times New Roman" w:hAnsi="Times New Roman"/>
          <w:sz w:val="20"/>
          <w:szCs w:val="20"/>
        </w:rPr>
        <w:t xml:space="preserve">RB. This is not every efficient in deep coverage scenario or in high SNR scenario with small data rate. </w:t>
      </w:r>
      <w:r w:rsidR="00777CEC">
        <w:rPr>
          <w:rFonts w:ascii="Times New Roman" w:hAnsi="Times New Roman"/>
          <w:sz w:val="20"/>
          <w:szCs w:val="20"/>
        </w:rPr>
        <w:t>In RAN1#</w:t>
      </w:r>
      <w:r w:rsidR="00605AA3">
        <w:rPr>
          <w:rFonts w:ascii="Times New Roman" w:hAnsi="Times New Roman"/>
          <w:sz w:val="20"/>
          <w:szCs w:val="20"/>
        </w:rPr>
        <w:t>9</w:t>
      </w:r>
      <w:r w:rsidR="00D2135C">
        <w:rPr>
          <w:rFonts w:ascii="Times New Roman" w:hAnsi="Times New Roman"/>
          <w:sz w:val="20"/>
          <w:szCs w:val="20"/>
        </w:rPr>
        <w:t>0</w:t>
      </w:r>
      <w:r w:rsidR="00777CEC">
        <w:rPr>
          <w:rFonts w:ascii="Times New Roman" w:hAnsi="Times New Roman"/>
          <w:sz w:val="20"/>
          <w:szCs w:val="20"/>
        </w:rPr>
        <w:t>, the techniques to increase PUSCH spectral efficiency were discussed with the following agreements</w:t>
      </w:r>
      <w:r w:rsidR="00B823C6">
        <w:rPr>
          <w:rFonts w:ascii="Times New Roman" w:hAnsi="Times New Roman"/>
          <w:sz w:val="20"/>
          <w:szCs w:val="20"/>
        </w:rPr>
        <w:t xml:space="preserve"> [1]</w:t>
      </w:r>
      <w:r w:rsidR="00777CEC">
        <w:rPr>
          <w:rFonts w:ascii="Times New Roman" w:hAnsi="Times New Roman"/>
          <w:sz w:val="20"/>
          <w:szCs w:val="20"/>
        </w:rPr>
        <w:t xml:space="preserve">. </w:t>
      </w:r>
    </w:p>
    <w:p w14:paraId="010AE03F" w14:textId="681B1983" w:rsidR="00605AA3" w:rsidRPr="00C23178" w:rsidRDefault="00605AA3" w:rsidP="00605AA3">
      <w:pPr>
        <w:rPr>
          <w:rFonts w:eastAsia="MS Mincho"/>
          <w:iCs/>
          <w:lang w:eastAsia="ja-JP"/>
        </w:rPr>
      </w:pPr>
      <w:r w:rsidRPr="001D410C">
        <w:rPr>
          <w:rFonts w:eastAsia="MS Mincho"/>
          <w:iCs/>
          <w:highlight w:val="green"/>
          <w:lang w:eastAsia="ja-JP"/>
        </w:rPr>
        <w:t>Agreement:</w:t>
      </w:r>
    </w:p>
    <w:p w14:paraId="48319DF7" w14:textId="77777777" w:rsidR="00D2135C" w:rsidRDefault="00D2135C" w:rsidP="00605AA3">
      <w:pPr>
        <w:numPr>
          <w:ilvl w:val="0"/>
          <w:numId w:val="6"/>
        </w:numPr>
        <w:tabs>
          <w:tab w:val="left" w:pos="720"/>
        </w:tabs>
        <w:overflowPunct/>
        <w:autoSpaceDE/>
        <w:autoSpaceDN/>
        <w:adjustRightInd/>
        <w:spacing w:after="0"/>
        <w:textAlignment w:val="auto"/>
        <w:rPr>
          <w:rFonts w:eastAsia="MS Mincho"/>
          <w:lang w:eastAsia="ja-JP"/>
        </w:rPr>
      </w:pPr>
      <w:r>
        <w:rPr>
          <w:rFonts w:eastAsia="MS Mincho"/>
          <w:lang w:eastAsia="ja-JP"/>
        </w:rPr>
        <w:t>Sub-PRB allocation method shall be specified</w:t>
      </w:r>
    </w:p>
    <w:p w14:paraId="260D4BA6" w14:textId="6F77D48A" w:rsidR="00605AA3" w:rsidRPr="00605AA3" w:rsidRDefault="00605AA3" w:rsidP="00605AA3">
      <w:pPr>
        <w:overflowPunct/>
        <w:autoSpaceDE/>
        <w:autoSpaceDN/>
        <w:adjustRightInd/>
        <w:spacing w:after="0"/>
        <w:textAlignment w:val="auto"/>
        <w:rPr>
          <w:rFonts w:eastAsia="MS Mincho"/>
          <w:lang w:eastAsia="ja-JP"/>
        </w:rPr>
      </w:pPr>
    </w:p>
    <w:p w14:paraId="1AC4EF3D" w14:textId="25DBAD74" w:rsidR="00536814" w:rsidRPr="00164ADD" w:rsidRDefault="002C1E49" w:rsidP="00164ADD">
      <w:pPr>
        <w:pStyle w:val="ListParagraph"/>
        <w:spacing w:after="180"/>
        <w:ind w:left="0"/>
        <w:jc w:val="both"/>
        <w:rPr>
          <w:rFonts w:ascii="Times New Roman" w:hAnsi="Times New Roman"/>
          <w:sz w:val="20"/>
          <w:szCs w:val="20"/>
        </w:rPr>
      </w:pPr>
      <w:r w:rsidRPr="00164ADD">
        <w:rPr>
          <w:rFonts w:ascii="Times New Roman" w:hAnsi="Times New Roman"/>
          <w:sz w:val="20"/>
          <w:szCs w:val="20"/>
        </w:rPr>
        <w:t xml:space="preserve">In this contribution, we </w:t>
      </w:r>
      <w:r w:rsidR="00605AA3" w:rsidRPr="00164ADD">
        <w:rPr>
          <w:rFonts w:ascii="Times New Roman" w:hAnsi="Times New Roman"/>
          <w:sz w:val="20"/>
          <w:szCs w:val="20"/>
        </w:rPr>
        <w:t xml:space="preserve">further </w:t>
      </w:r>
      <w:r w:rsidRPr="00164ADD">
        <w:rPr>
          <w:rFonts w:ascii="Times New Roman" w:hAnsi="Times New Roman"/>
          <w:sz w:val="20"/>
          <w:szCs w:val="20"/>
        </w:rPr>
        <w:t>discu</w:t>
      </w:r>
      <w:r w:rsidR="00605AA3" w:rsidRPr="00164ADD">
        <w:rPr>
          <w:rFonts w:ascii="Times New Roman" w:hAnsi="Times New Roman"/>
          <w:sz w:val="20"/>
          <w:szCs w:val="20"/>
        </w:rPr>
        <w:t xml:space="preserve">ss the </w:t>
      </w:r>
      <w:r w:rsidR="00D2135C">
        <w:rPr>
          <w:rFonts w:ascii="Times New Roman" w:hAnsi="Times New Roman"/>
          <w:sz w:val="20"/>
          <w:szCs w:val="20"/>
        </w:rPr>
        <w:t xml:space="preserve">specification enhancements to support </w:t>
      </w:r>
      <w:r w:rsidRPr="00164ADD">
        <w:rPr>
          <w:rFonts w:ascii="Times New Roman" w:hAnsi="Times New Roman"/>
          <w:sz w:val="20"/>
          <w:szCs w:val="20"/>
        </w:rPr>
        <w:t>sub-</w:t>
      </w:r>
      <w:r w:rsidR="009C5BF4" w:rsidRPr="00164ADD">
        <w:rPr>
          <w:rFonts w:ascii="Times New Roman" w:hAnsi="Times New Roman"/>
          <w:sz w:val="20"/>
          <w:szCs w:val="20"/>
        </w:rPr>
        <w:t>P</w:t>
      </w:r>
      <w:r w:rsidRPr="00164ADD">
        <w:rPr>
          <w:rFonts w:ascii="Times New Roman" w:hAnsi="Times New Roman"/>
          <w:sz w:val="20"/>
          <w:szCs w:val="20"/>
        </w:rPr>
        <w:t>RB allocation for PUSCH.</w:t>
      </w:r>
    </w:p>
    <w:p w14:paraId="6A808625" w14:textId="65D99727" w:rsidR="007D7698" w:rsidRDefault="00A55AF1" w:rsidP="00564597">
      <w:pPr>
        <w:pStyle w:val="Heading1"/>
      </w:pPr>
      <w:r>
        <w:t>Discussion</w:t>
      </w:r>
      <w:r w:rsidR="00AC5978">
        <w:t xml:space="preserve"> </w:t>
      </w:r>
    </w:p>
    <w:p w14:paraId="012EED93" w14:textId="151BE957" w:rsidR="00AA6E3C" w:rsidRDefault="00AA6E3C" w:rsidP="00AA6E3C">
      <w:pPr>
        <w:pStyle w:val="Heading2"/>
      </w:pPr>
      <w:r>
        <w:rPr>
          <w:rFonts w:hint="eastAsia"/>
        </w:rPr>
        <w:t>Definition of resource unit</w:t>
      </w:r>
    </w:p>
    <w:p w14:paraId="3809BD5C" w14:textId="5FBD2216" w:rsidR="00B0165C" w:rsidRDefault="00D2135C" w:rsidP="00C471F2">
      <w:pPr>
        <w:jc w:val="both"/>
      </w:pPr>
      <w:r>
        <w:t>For supporting sub-PRB allocation for PUSCH</w:t>
      </w:r>
      <w:r w:rsidR="005F0E76">
        <w:t xml:space="preserve"> in eMTC</w:t>
      </w:r>
      <w:r>
        <w:t xml:space="preserve">, </w:t>
      </w:r>
      <w:r w:rsidR="00BF04A3">
        <w:t xml:space="preserve">the principles of </w:t>
      </w:r>
      <w:r w:rsidR="000D494F" w:rsidRPr="0059276F">
        <w:t xml:space="preserve">NPUSCH design in NB-IoT can be reused. </w:t>
      </w:r>
      <w:r w:rsidR="00BF04A3">
        <w:t xml:space="preserve">In NB-IoT, </w:t>
      </w:r>
      <w:r w:rsidR="000D494F" w:rsidRPr="0059276F">
        <w:t>The</w:t>
      </w:r>
      <w:r w:rsidR="00BD0410" w:rsidRPr="0059276F">
        <w:t xml:space="preserve"> allowable number of subcarriers for the</w:t>
      </w:r>
      <w:r w:rsidR="000D494F" w:rsidRPr="0059276F">
        <w:t xml:space="preserve"> sub-</w:t>
      </w:r>
      <w:r w:rsidR="009C5BF4" w:rsidRPr="0059276F">
        <w:t>P</w:t>
      </w:r>
      <w:r w:rsidR="000D494F" w:rsidRPr="0059276F">
        <w:t xml:space="preserve">RB allocation can be </w:t>
      </w:r>
      <w:r w:rsidR="00BD0410" w:rsidRPr="0059276F">
        <w:t>1, 3 and 6.</w:t>
      </w:r>
      <w:r w:rsidR="00C471F2">
        <w:t xml:space="preserve"> </w:t>
      </w:r>
      <w:r w:rsidR="00BD0410" w:rsidRPr="00843F6C">
        <w:t>T</w:t>
      </w:r>
      <w:r w:rsidR="000D494F" w:rsidRPr="00843F6C">
        <w:t xml:space="preserve">he resource unit </w:t>
      </w:r>
      <w:r w:rsidR="005575DE" w:rsidRPr="00843F6C">
        <w:t xml:space="preserve">(RU) </w:t>
      </w:r>
      <w:r w:rsidR="00BD0410" w:rsidRPr="00843F6C">
        <w:t xml:space="preserve">concept in NB-IoT </w:t>
      </w:r>
      <w:r w:rsidR="005F0E76">
        <w:t xml:space="preserve">can be also </w:t>
      </w:r>
      <w:r w:rsidR="00BD0410" w:rsidRPr="00843F6C">
        <w:t xml:space="preserve">adopted where a resource unit </w:t>
      </w:r>
      <w:r w:rsidR="000D494F" w:rsidRPr="00843F6C">
        <w:t>is defined by x subca</w:t>
      </w:r>
      <w:r w:rsidR="003725A6" w:rsidRPr="00843F6C">
        <w:t>rriers</w:t>
      </w:r>
      <w:r w:rsidR="000D494F" w:rsidRPr="00843F6C">
        <w:t xml:space="preserve"> × y subframes</w:t>
      </w:r>
      <w:r w:rsidR="00BD0410" w:rsidRPr="00843F6C">
        <w:t xml:space="preserve"> with </w:t>
      </w:r>
      <w:r w:rsidR="00D0025B" w:rsidRPr="00843F6C">
        <w:t xml:space="preserve">the constraint that x*y </w:t>
      </w:r>
      <w:r w:rsidR="00C471F2" w:rsidRPr="00843F6C">
        <w:t>is close to 12</w:t>
      </w:r>
      <w:r w:rsidR="005575DE" w:rsidRPr="00843F6C">
        <w:t xml:space="preserve">. </w:t>
      </w:r>
      <w:r w:rsidR="00C471F2" w:rsidRPr="00843F6C">
        <w:t>If we consider the sub-PRB allocation for TDD, the resource unit with 4 subcarriers by 3 subframes may also be supported. As shown in Figure 1 below, for TDD UL/DL configuration #0</w:t>
      </w:r>
      <w:r w:rsidR="00051486" w:rsidRPr="00843F6C">
        <w:t xml:space="preserve"> with </w:t>
      </w:r>
      <w:r w:rsidR="00C471F2" w:rsidRPr="00843F6C">
        <w:t xml:space="preserve">3 </w:t>
      </w:r>
      <w:r w:rsidR="00C471F2" w:rsidRPr="0059276F">
        <w:t>consecutive UL subframes</w:t>
      </w:r>
      <w:r w:rsidR="00C471F2">
        <w:t xml:space="preserve">, the resource unit with </w:t>
      </w:r>
      <w:r w:rsidR="00C471F2" w:rsidRPr="00843F6C">
        <w:t>3 subcarriers by 4 subframes would</w:t>
      </w:r>
      <w:r w:rsidR="00051486" w:rsidRPr="00843F6C">
        <w:t xml:space="preserve"> make </w:t>
      </w:r>
      <w:r w:rsidR="00932FC8">
        <w:t>a</w:t>
      </w:r>
      <w:r w:rsidR="00051486" w:rsidRPr="00843F6C">
        <w:t xml:space="preserve"> resource unit </w:t>
      </w:r>
      <w:r w:rsidR="00153FC1">
        <w:t xml:space="preserve">across two </w:t>
      </w:r>
      <w:r w:rsidR="000F406D">
        <w:t>UL occasions</w:t>
      </w:r>
      <w:r w:rsidR="00153FC1">
        <w:t xml:space="preserve"> which may significantly degrade channel estimation performance and </w:t>
      </w:r>
      <w:r w:rsidR="005F0E76">
        <w:t xml:space="preserve">restrict </w:t>
      </w:r>
      <w:r w:rsidR="00153FC1">
        <w:t xml:space="preserve">time domain combining. </w:t>
      </w:r>
      <w:r w:rsidR="00843F6C">
        <w:t>However, a</w:t>
      </w:r>
      <w:r w:rsidR="00153FC1">
        <w:t xml:space="preserve"> resource unit </w:t>
      </w:r>
      <w:r w:rsidR="00153FC1" w:rsidRPr="00843F6C">
        <w:t xml:space="preserve">with 4 subcarriers by 3 subframes could effectively improve sub-PRB resource allocation </w:t>
      </w:r>
      <w:r w:rsidR="00843F6C" w:rsidRPr="00843F6C">
        <w:t>in such case</w:t>
      </w:r>
      <w:r w:rsidR="00153FC1" w:rsidRPr="00843F6C">
        <w:t xml:space="preserve">. </w:t>
      </w:r>
    </w:p>
    <w:p w14:paraId="53DB2C0F" w14:textId="59CD782F" w:rsidR="005810F4" w:rsidRDefault="00932FC8" w:rsidP="008D3D12">
      <w:pPr>
        <w:spacing w:after="0"/>
        <w:jc w:val="center"/>
        <w:rPr>
          <w:lang w:val="en-GB"/>
        </w:rPr>
      </w:pPr>
      <w:r w:rsidRPr="00932FC8">
        <w:rPr>
          <w:noProof/>
          <w:lang w:eastAsia="zh-CN"/>
        </w:rPr>
        <w:drawing>
          <wp:inline distT="0" distB="0" distL="0" distR="0" wp14:anchorId="3489183C" wp14:editId="48D104C6">
            <wp:extent cx="5100718" cy="910938"/>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2714" cy="916652"/>
                    </a:xfrm>
                    <a:prstGeom prst="rect">
                      <a:avLst/>
                    </a:prstGeom>
                    <a:noFill/>
                    <a:ln>
                      <a:noFill/>
                    </a:ln>
                  </pic:spPr>
                </pic:pic>
              </a:graphicData>
            </a:graphic>
          </wp:inline>
        </w:drawing>
      </w:r>
    </w:p>
    <w:p w14:paraId="1A362ADF" w14:textId="555036B3" w:rsidR="005810F4" w:rsidRPr="006959E0" w:rsidRDefault="005810F4" w:rsidP="005F0E76">
      <w:pPr>
        <w:spacing w:after="240"/>
        <w:jc w:val="center"/>
        <w:rPr>
          <w:b/>
          <w:lang w:val="en-GB" w:eastAsia="zh-CN"/>
        </w:rPr>
      </w:pPr>
      <w:r w:rsidRPr="006959E0">
        <w:rPr>
          <w:rFonts w:hint="eastAsia"/>
          <w:b/>
          <w:lang w:val="en-GB" w:eastAsia="zh-CN"/>
        </w:rPr>
        <w:t xml:space="preserve">Figure 1: </w:t>
      </w:r>
      <w:r>
        <w:rPr>
          <w:b/>
          <w:lang w:val="en-GB" w:eastAsia="zh-CN"/>
        </w:rPr>
        <w:t xml:space="preserve">Resource Unit </w:t>
      </w:r>
      <w:r w:rsidR="008D3D12">
        <w:rPr>
          <w:b/>
          <w:lang w:val="en-GB" w:eastAsia="zh-CN"/>
        </w:rPr>
        <w:t xml:space="preserve">of </w:t>
      </w:r>
      <w:r w:rsidR="008D3D12" w:rsidRPr="008D3D12">
        <w:rPr>
          <w:b/>
          <w:lang w:val="en-GB" w:eastAsia="zh-CN"/>
        </w:rPr>
        <w:t>3 subcarriers by 4 subframes</w:t>
      </w:r>
      <w:r w:rsidR="008D3D12">
        <w:rPr>
          <w:b/>
          <w:lang w:val="en-GB" w:eastAsia="zh-CN"/>
        </w:rPr>
        <w:t xml:space="preserve"> for TDD </w:t>
      </w:r>
      <w:r>
        <w:rPr>
          <w:b/>
          <w:lang w:val="en-GB" w:eastAsia="zh-CN"/>
        </w:rPr>
        <w:t>Config #0</w:t>
      </w:r>
    </w:p>
    <w:p w14:paraId="3B34FA1E" w14:textId="7E7C93B5" w:rsidR="00BF04A3" w:rsidRDefault="00153FC1" w:rsidP="00843F6C">
      <w:pPr>
        <w:rPr>
          <w:b/>
          <w:lang w:val="en-GB"/>
        </w:rPr>
      </w:pPr>
      <w:r w:rsidRPr="005648A0">
        <w:rPr>
          <w:b/>
          <w:u w:val="single"/>
          <w:lang w:val="en-GB"/>
        </w:rPr>
        <w:t>Proposal 1</w:t>
      </w:r>
      <w:r w:rsidRPr="005648A0">
        <w:rPr>
          <w:b/>
          <w:lang w:val="en-GB"/>
        </w:rPr>
        <w:t>: Support sub-</w:t>
      </w:r>
      <w:r>
        <w:rPr>
          <w:b/>
          <w:lang w:val="en-GB"/>
        </w:rPr>
        <w:t>P</w:t>
      </w:r>
      <w:r w:rsidRPr="005648A0">
        <w:rPr>
          <w:b/>
          <w:lang w:val="en-GB"/>
        </w:rPr>
        <w:t xml:space="preserve">RB allocation in eMTC by adopting </w:t>
      </w:r>
      <w:r w:rsidR="00843F6C">
        <w:rPr>
          <w:b/>
          <w:lang w:val="en-GB"/>
        </w:rPr>
        <w:t>the resource unit</w:t>
      </w:r>
      <w:r w:rsidRPr="005648A0">
        <w:rPr>
          <w:b/>
          <w:lang w:val="en-GB"/>
        </w:rPr>
        <w:t xml:space="preserve"> design in NB-I</w:t>
      </w:r>
      <w:r w:rsidR="005810F4">
        <w:rPr>
          <w:b/>
          <w:lang w:val="en-GB" w:eastAsia="zh-CN"/>
        </w:rPr>
        <w:t>o</w:t>
      </w:r>
      <w:r w:rsidRPr="005648A0">
        <w:rPr>
          <w:b/>
          <w:lang w:val="en-GB"/>
        </w:rPr>
        <w:t>T</w:t>
      </w:r>
      <w:r w:rsidRPr="00843F6C">
        <w:rPr>
          <w:b/>
          <w:lang w:val="en-GB"/>
        </w:rPr>
        <w:t>.</w:t>
      </w:r>
    </w:p>
    <w:p w14:paraId="07AE6403" w14:textId="77777777" w:rsidR="00D05A6C" w:rsidRDefault="00D05A6C" w:rsidP="00D05A6C">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Down-select from the following two options for the supported number of subcarriers for sub-PRB allocation:</w:t>
      </w:r>
    </w:p>
    <w:p w14:paraId="483F6F53" w14:textId="77777777" w:rsidR="00D05A6C" w:rsidRPr="00D05A6C" w:rsidRDefault="00D05A6C" w:rsidP="00D05A6C">
      <w:pPr>
        <w:pStyle w:val="ListParagraph"/>
        <w:numPr>
          <w:ilvl w:val="0"/>
          <w:numId w:val="13"/>
        </w:numPr>
        <w:rPr>
          <w:rFonts w:ascii="Times New Roman" w:eastAsia="宋体" w:hAnsi="Times New Roman"/>
          <w:b/>
          <w:sz w:val="20"/>
          <w:szCs w:val="20"/>
          <w:lang w:val="en-GB"/>
        </w:rPr>
      </w:pPr>
      <w:r>
        <w:rPr>
          <w:rFonts w:ascii="Times New Roman" w:eastAsia="宋体" w:hAnsi="Times New Roman"/>
          <w:b/>
          <w:sz w:val="20"/>
          <w:szCs w:val="20"/>
          <w:lang w:val="en-GB"/>
        </w:rPr>
        <w:t xml:space="preserve">Option 1: </w:t>
      </w:r>
      <w:r w:rsidRPr="00D05A6C">
        <w:rPr>
          <w:rFonts w:ascii="Times New Roman" w:eastAsia="宋体" w:hAnsi="Times New Roman"/>
          <w:b/>
          <w:sz w:val="20"/>
          <w:szCs w:val="20"/>
          <w:lang w:val="en-GB"/>
        </w:rPr>
        <w:t xml:space="preserve">2 and 4 </w:t>
      </w:r>
      <w:r>
        <w:rPr>
          <w:rFonts w:ascii="Times New Roman" w:eastAsia="宋体" w:hAnsi="Times New Roman"/>
          <w:b/>
          <w:sz w:val="20"/>
          <w:szCs w:val="20"/>
          <w:lang w:val="en-GB"/>
        </w:rPr>
        <w:t>subcarriers</w:t>
      </w:r>
    </w:p>
    <w:p w14:paraId="449EB1BF" w14:textId="77777777" w:rsidR="00D05A6C" w:rsidRPr="00D05A6C" w:rsidRDefault="00D05A6C" w:rsidP="00D05A6C">
      <w:pPr>
        <w:pStyle w:val="ListParagraph"/>
        <w:numPr>
          <w:ilvl w:val="0"/>
          <w:numId w:val="13"/>
        </w:numPr>
        <w:spacing w:after="180"/>
        <w:ind w:left="714" w:hanging="357"/>
        <w:rPr>
          <w:rFonts w:ascii="Times New Roman" w:eastAsia="宋体" w:hAnsi="Times New Roman"/>
          <w:b/>
          <w:sz w:val="20"/>
          <w:szCs w:val="20"/>
          <w:lang w:val="en-GB"/>
        </w:rPr>
      </w:pPr>
      <w:r>
        <w:rPr>
          <w:rFonts w:ascii="Times New Roman" w:eastAsia="宋体" w:hAnsi="Times New Roman"/>
          <w:b/>
          <w:sz w:val="20"/>
          <w:szCs w:val="20"/>
          <w:lang w:val="en-GB"/>
        </w:rPr>
        <w:t xml:space="preserve">Option 2: </w:t>
      </w:r>
      <w:r w:rsidRPr="00D05A6C">
        <w:rPr>
          <w:rFonts w:ascii="Times New Roman" w:eastAsia="宋体" w:hAnsi="Times New Roman"/>
          <w:b/>
          <w:sz w:val="20"/>
          <w:szCs w:val="20"/>
          <w:lang w:val="en-GB"/>
        </w:rPr>
        <w:t>3 and 6</w:t>
      </w:r>
      <w:r>
        <w:rPr>
          <w:rFonts w:ascii="Times New Roman" w:eastAsia="宋体" w:hAnsi="Times New Roman"/>
          <w:b/>
          <w:sz w:val="20"/>
          <w:szCs w:val="20"/>
          <w:lang w:val="en-GB"/>
        </w:rPr>
        <w:t xml:space="preserve"> subcarriers</w:t>
      </w:r>
    </w:p>
    <w:p w14:paraId="327A740E" w14:textId="5D7DD9F8" w:rsidR="00AA6E3C" w:rsidRDefault="00AA6E3C" w:rsidP="00AA6E3C">
      <w:pPr>
        <w:pStyle w:val="Heading2"/>
      </w:pPr>
      <w:r>
        <w:lastRenderedPageBreak/>
        <w:t>Resource allocation</w:t>
      </w:r>
    </w:p>
    <w:p w14:paraId="19AEC07E" w14:textId="68D60FAA" w:rsidR="000F406D" w:rsidRDefault="005810F4" w:rsidP="005810F4">
      <w:pPr>
        <w:jc w:val="both"/>
      </w:pPr>
      <w:r>
        <w:t xml:space="preserve">Currently for eMTC, the UL grant can be based on DCI format 6-0A </w:t>
      </w:r>
      <w:r w:rsidR="00A516ED">
        <w:t>or</w:t>
      </w:r>
      <w:r>
        <w:t xml:space="preserve"> 6-0B for which the resource assignment field may include a narrowband index indicator and also a 5</w:t>
      </w:r>
      <w:r w:rsidR="00A516ED">
        <w:t>/</w:t>
      </w:r>
      <w:r>
        <w:t xml:space="preserve">3-bits RB index indicator within the narrowband. For the sub-PRB resource allocation, if we follow the NB-IoT design </w:t>
      </w:r>
      <w:r w:rsidR="005F0E76">
        <w:t xml:space="preserve">to use the non-overlapped subcarriers for resource assignment </w:t>
      </w:r>
      <w:r>
        <w:t xml:space="preserve">then we may need </w:t>
      </w:r>
      <w:r w:rsidR="005F0E76">
        <w:t xml:space="preserve">at least </w:t>
      </w:r>
      <w:r>
        <w:t>3-bit to indicate the subcarrier index within the RB</w:t>
      </w:r>
      <w:r w:rsidR="005F0E76">
        <w:t>, e.g., for three and six tone allocation</w:t>
      </w:r>
      <w:r>
        <w:t xml:space="preserve">. </w:t>
      </w:r>
      <w:r w:rsidR="00A516ED">
        <w:t xml:space="preserve">For </w:t>
      </w:r>
      <w:r>
        <w:t xml:space="preserve">a full flexibility </w:t>
      </w:r>
      <w:r w:rsidR="005F0E76">
        <w:t>r</w:t>
      </w:r>
      <w:r w:rsidR="00A516ED">
        <w:t xml:space="preserve">esource </w:t>
      </w:r>
      <w:r>
        <w:t xml:space="preserve">allocation, the resource assignment field may </w:t>
      </w:r>
      <w:r w:rsidR="005F0E76">
        <w:t xml:space="preserve">need also </w:t>
      </w:r>
      <w:r>
        <w:t xml:space="preserve">include </w:t>
      </w:r>
      <w:r w:rsidR="00A516ED">
        <w:t>a</w:t>
      </w:r>
      <w:r>
        <w:t xml:space="preserve"> narrowband index (</w:t>
      </w:r>
      <w:r w:rsidRPr="000D16B8">
        <w:rPr>
          <w:position w:val="-32"/>
        </w:rPr>
        <w:object w:dxaOrig="1340" w:dyaOrig="740" w14:anchorId="14C83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36.55pt" o:ole="">
            <v:imagedata r:id="rId13" o:title=""/>
          </v:shape>
          <o:OLEObject Type="Embed" ProgID="Equation.3" ShapeID="_x0000_i1025" DrawAspect="Content" ObjectID="_1568275644" r:id="rId14"/>
        </w:object>
      </w:r>
      <w:r>
        <w:rPr>
          <w:rFonts w:hint="eastAsia"/>
        </w:rPr>
        <w:t>bits</w:t>
      </w:r>
      <w:r>
        <w:t>), 3-bit P</w:t>
      </w:r>
      <w:r w:rsidR="005F0E76">
        <w:t xml:space="preserve">RB index within the narrowband </w:t>
      </w:r>
      <w:r>
        <w:t xml:space="preserve">and </w:t>
      </w:r>
      <w:r w:rsidR="005F0E76">
        <w:t xml:space="preserve">another </w:t>
      </w:r>
      <w:r>
        <w:t xml:space="preserve">3-bit </w:t>
      </w:r>
      <w:r w:rsidR="005F0E76">
        <w:t xml:space="preserve">for </w:t>
      </w:r>
      <w:r>
        <w:t>number of resource units. It can be seen that the required total number of bits will be much higher than th</w:t>
      </w:r>
      <w:r w:rsidR="00A516ED">
        <w:t>at in the</w:t>
      </w:r>
      <w:r>
        <w:t xml:space="preserve"> existing DCI format 6-0A and 6-0B. To reduce the resource allocation overhead we can consider a limited flexibility resource allocation, such as restricting </w:t>
      </w:r>
      <w:r w:rsidR="000F406D">
        <w:t xml:space="preserve">the </w:t>
      </w:r>
      <w:r>
        <w:t xml:space="preserve">sub-PRB allocation to </w:t>
      </w:r>
      <w:r w:rsidR="000F406D">
        <w:t>the</w:t>
      </w:r>
      <w:r>
        <w:t xml:space="preserve"> preconfigured </w:t>
      </w:r>
      <w:r w:rsidR="000F406D">
        <w:t xml:space="preserve">a few </w:t>
      </w:r>
      <w:r>
        <w:t xml:space="preserve">narrowbands or PRBs. </w:t>
      </w:r>
      <w:r w:rsidR="005938FF">
        <w:t xml:space="preserve">We could also </w:t>
      </w:r>
      <w:r w:rsidR="000F406D">
        <w:t xml:space="preserve">consider </w:t>
      </w:r>
      <w:r w:rsidR="001E3F2D">
        <w:t>fix</w:t>
      </w:r>
      <w:r w:rsidR="00D05A6C">
        <w:t>ing</w:t>
      </w:r>
      <w:r w:rsidR="005938FF">
        <w:t xml:space="preserve"> the </w:t>
      </w:r>
      <w:r>
        <w:t xml:space="preserve">number of resource unit for the </w:t>
      </w:r>
      <w:r w:rsidR="00A37D17">
        <w:t>sub-PRB</w:t>
      </w:r>
      <w:r>
        <w:t xml:space="preserve"> resource allocation to </w:t>
      </w:r>
      <w:r w:rsidR="001E3F2D">
        <w:t xml:space="preserve">avoid </w:t>
      </w:r>
      <w:r w:rsidR="005938FF">
        <w:t>the signaling</w:t>
      </w:r>
      <w:r w:rsidR="00122DE4">
        <w:t xml:space="preserve"> in DCI format. For example, if the number of resource unit for the sub-PRB allocation is fixed to one, </w:t>
      </w:r>
      <w:r w:rsidR="000F406D">
        <w:t xml:space="preserve">the sub-PRB allocation is </w:t>
      </w:r>
      <w:r w:rsidR="007812A3">
        <w:t xml:space="preserve">then </w:t>
      </w:r>
      <w:r w:rsidR="000F406D">
        <w:t xml:space="preserve">used only for small TBS, e.g., max TBS size of </w:t>
      </w:r>
      <w:r w:rsidR="001A2FFD">
        <w:t>204 bits</w:t>
      </w:r>
      <w:r w:rsidR="000F406D">
        <w:t>. This may be okay for high SNR</w:t>
      </w:r>
      <w:r w:rsidR="007812A3">
        <w:t xml:space="preserve"> with </w:t>
      </w:r>
      <w:r w:rsidR="002A4E75">
        <w:t xml:space="preserve">a </w:t>
      </w:r>
      <w:r w:rsidR="007812A3">
        <w:t xml:space="preserve">small data rate. The normal PRB based resource allocation can still be used in case of high data rate. </w:t>
      </w:r>
      <w:r w:rsidR="002A4E75">
        <w:t xml:space="preserve">This is because the sub-PRB allocation may require longer transmission duration in time domain and thus is preferable to use it only for small packet data to avoid large latency and not reduce the peak data rate. </w:t>
      </w:r>
      <w:r w:rsidR="009B16F5">
        <w:t xml:space="preserve">For very low SNR, the </w:t>
      </w:r>
      <w:r w:rsidR="008E74AA">
        <w:t xml:space="preserve">supported data rate is low and thus the </w:t>
      </w:r>
      <w:r w:rsidR="009B16F5">
        <w:t xml:space="preserve">number of resource units for the sub-PRB allocation can be greater than one </w:t>
      </w:r>
      <w:r w:rsidR="008E74AA">
        <w:t>in order to</w:t>
      </w:r>
      <w:r w:rsidR="002A4E75">
        <w:t xml:space="preserve"> </w:t>
      </w:r>
      <w:r w:rsidR="009B16F5">
        <w:t xml:space="preserve">support larger TBS. </w:t>
      </w:r>
    </w:p>
    <w:p w14:paraId="0053AD22" w14:textId="64BD1183" w:rsidR="005810F4" w:rsidRDefault="005938FF" w:rsidP="005810F4">
      <w:pPr>
        <w:jc w:val="both"/>
      </w:pPr>
      <w:r>
        <w:t xml:space="preserve">Table 1 below shows an example of </w:t>
      </w:r>
      <w:r w:rsidR="005810F4">
        <w:t xml:space="preserve">a joint indication of the RB and subcarrier index by using only 6-bits. </w:t>
      </w:r>
      <w:r w:rsidR="008E74AA">
        <w:t xml:space="preserve">It is noted that the normal PRB based allocation is still supported when the </w:t>
      </w:r>
      <w:r w:rsidR="005810F4">
        <w:t xml:space="preserve">sub-PRB resource allocation </w:t>
      </w:r>
      <w:r w:rsidR="008E74AA">
        <w:t>mode is configured by RRC. This allows e</w:t>
      </w:r>
      <w:r w:rsidR="007E0234">
        <w:t xml:space="preserve">NB </w:t>
      </w:r>
      <w:r w:rsidR="008E74AA">
        <w:t>to</w:t>
      </w:r>
      <w:r w:rsidR="007E0234">
        <w:t xml:space="preserve"> use the DCI to dynamic </w:t>
      </w:r>
      <w:r w:rsidR="005810F4">
        <w:t xml:space="preserve">switch between the sub-PRB </w:t>
      </w:r>
      <w:r w:rsidR="007E0234">
        <w:t xml:space="preserve">and </w:t>
      </w:r>
      <w:r w:rsidR="005810F4">
        <w:t xml:space="preserve">normal PRB based </w:t>
      </w:r>
      <w:r w:rsidR="007E0234">
        <w:t xml:space="preserve">resource allocation for </w:t>
      </w:r>
      <w:r w:rsidR="005810F4">
        <w:t xml:space="preserve">PUSCH </w:t>
      </w:r>
      <w:r w:rsidR="007E0234">
        <w:t>to balance the data rate/latency and the spectrum efficiency</w:t>
      </w:r>
      <w:r w:rsidR="005810F4">
        <w:t xml:space="preserve">. </w:t>
      </w:r>
    </w:p>
    <w:p w14:paraId="6C31462D" w14:textId="6BB02BC3" w:rsidR="005810F4" w:rsidRPr="00020D21" w:rsidRDefault="005810F4" w:rsidP="005810F4">
      <w:pPr>
        <w:spacing w:beforeLines="50" w:before="120" w:afterLines="50" w:after="120"/>
        <w:jc w:val="center"/>
      </w:pPr>
      <w:r>
        <w:rPr>
          <w:rFonts w:hint="eastAsia"/>
        </w:rPr>
        <w:t xml:space="preserve">Table 1 </w:t>
      </w:r>
      <w:r>
        <w:t>Joint indication of RB and subcarrier</w:t>
      </w:r>
      <w:r>
        <w:rPr>
          <w:rFonts w:hint="eastAsia"/>
        </w:rPr>
        <w:t xml:space="preserve"> ind</w:t>
      </w:r>
      <w:r>
        <w:t>ex</w:t>
      </w:r>
      <w:r>
        <w:rPr>
          <w:rFonts w:hint="eastAsia"/>
        </w:rPr>
        <w:t xml:space="preserve"> within the </w:t>
      </w:r>
      <w:r>
        <w:t>narrowband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4589"/>
      </w:tblGrid>
      <w:tr w:rsidR="005810F4" w:rsidRPr="00E9040D" w14:paraId="54FFB617" w14:textId="77777777" w:rsidTr="006571F8">
        <w:trPr>
          <w:cantSplit/>
          <w:jc w:val="center"/>
        </w:trPr>
        <w:tc>
          <w:tcPr>
            <w:tcW w:w="0" w:type="auto"/>
            <w:shd w:val="clear" w:color="auto" w:fill="E0E0E0"/>
            <w:vAlign w:val="center"/>
          </w:tcPr>
          <w:p w14:paraId="395E0A89" w14:textId="6743C87D" w:rsidR="005810F4" w:rsidRPr="00C745D3" w:rsidRDefault="005810F4" w:rsidP="006571F8">
            <w:pPr>
              <w:pStyle w:val="TAH"/>
              <w:rPr>
                <w:rFonts w:ascii="Times New Roman" w:hAnsi="Times New Roman"/>
                <w:b w:val="0"/>
                <w:sz w:val="21"/>
                <w:szCs w:val="21"/>
              </w:rPr>
            </w:pPr>
            <w:r w:rsidRPr="00C745D3">
              <w:rPr>
                <w:rFonts w:ascii="Times New Roman" w:hAnsi="Times New Roman"/>
                <w:b w:val="0"/>
                <w:sz w:val="21"/>
                <w:szCs w:val="21"/>
              </w:rPr>
              <w:t xml:space="preserve"> </w:t>
            </w:r>
            <w:r>
              <w:rPr>
                <w:rFonts w:ascii="Times New Roman" w:hAnsi="Times New Roman"/>
                <w:b w:val="0"/>
                <w:sz w:val="21"/>
                <w:szCs w:val="21"/>
              </w:rPr>
              <w:t>RB/</w:t>
            </w:r>
            <w:r w:rsidRPr="00C745D3">
              <w:rPr>
                <w:rFonts w:ascii="Times New Roman" w:hAnsi="Times New Roman"/>
                <w:b w:val="0"/>
                <w:sz w:val="21"/>
                <w:szCs w:val="21"/>
                <w:lang w:eastAsia="zh-CN"/>
              </w:rPr>
              <w:t>Subcarrier indication field (</w:t>
            </w:r>
            <w:r w:rsidRPr="00C745D3">
              <w:rPr>
                <w:rFonts w:ascii="Times New Roman" w:hAnsi="Times New Roman"/>
                <w:b w:val="0"/>
                <w:position w:val="-10"/>
                <w:sz w:val="21"/>
                <w:szCs w:val="21"/>
              </w:rPr>
              <w:object w:dxaOrig="279" w:dyaOrig="300" w14:anchorId="34FFA24C">
                <v:shape id="_x0000_i1026" type="#_x0000_t75" style="width:14.5pt;height:15.05pt" o:ole="">
                  <v:imagedata r:id="rId15" o:title=""/>
                </v:shape>
                <o:OLEObject Type="Embed" ProgID="Equation.3" ShapeID="_x0000_i1026" DrawAspect="Content" ObjectID="_1568275645" r:id="rId16"/>
              </w:object>
            </w:r>
            <w:r w:rsidRPr="00C745D3">
              <w:rPr>
                <w:rFonts w:ascii="Times New Roman" w:hAnsi="Times New Roman"/>
                <w:b w:val="0"/>
                <w:sz w:val="21"/>
                <w:szCs w:val="21"/>
              </w:rPr>
              <w:t>)</w:t>
            </w:r>
          </w:p>
        </w:tc>
        <w:tc>
          <w:tcPr>
            <w:tcW w:w="0" w:type="auto"/>
            <w:shd w:val="clear" w:color="auto" w:fill="E0E0E0"/>
            <w:vAlign w:val="center"/>
          </w:tcPr>
          <w:p w14:paraId="67C6E9AE" w14:textId="77777777" w:rsidR="005810F4" w:rsidRPr="00C745D3" w:rsidRDefault="005810F4" w:rsidP="006571F8">
            <w:pPr>
              <w:pStyle w:val="TAH"/>
              <w:rPr>
                <w:rFonts w:ascii="Times New Roman" w:hAnsi="Times New Roman"/>
                <w:b w:val="0"/>
                <w:sz w:val="21"/>
                <w:szCs w:val="21"/>
              </w:rPr>
            </w:pPr>
            <w:r w:rsidRPr="00C745D3">
              <w:rPr>
                <w:rFonts w:ascii="Times New Roman" w:hAnsi="Times New Roman"/>
                <w:b w:val="0"/>
                <w:sz w:val="21"/>
                <w:szCs w:val="21"/>
              </w:rPr>
              <w:t>Set of Allocated subcarriers (</w:t>
            </w:r>
            <w:r w:rsidRPr="00C745D3">
              <w:rPr>
                <w:rFonts w:ascii="Times New Roman" w:hAnsi="Times New Roman"/>
                <w:b w:val="0"/>
                <w:position w:val="-10"/>
                <w:sz w:val="21"/>
                <w:szCs w:val="21"/>
              </w:rPr>
              <w:object w:dxaOrig="300" w:dyaOrig="340" w14:anchorId="4E020B62">
                <v:shape id="_x0000_i1027" type="#_x0000_t75" style="width:15.05pt;height:16.65pt" o:ole="">
                  <v:imagedata r:id="rId17" o:title=""/>
                </v:shape>
                <o:OLEObject Type="Embed" ProgID="Equation.3" ShapeID="_x0000_i1027" DrawAspect="Content" ObjectID="_1568275646" r:id="rId18"/>
              </w:object>
            </w:r>
            <w:r w:rsidRPr="00C745D3">
              <w:rPr>
                <w:rFonts w:ascii="Times New Roman" w:hAnsi="Times New Roman"/>
                <w:b w:val="0"/>
                <w:sz w:val="21"/>
                <w:szCs w:val="21"/>
              </w:rPr>
              <w:t xml:space="preserve">) </w:t>
            </w:r>
          </w:p>
        </w:tc>
      </w:tr>
      <w:tr w:rsidR="005810F4" w:rsidRPr="00E9040D" w14:paraId="585EEF89" w14:textId="77777777" w:rsidTr="006571F8">
        <w:trPr>
          <w:cantSplit/>
          <w:jc w:val="center"/>
        </w:trPr>
        <w:tc>
          <w:tcPr>
            <w:tcW w:w="0" w:type="auto"/>
            <w:vAlign w:val="center"/>
          </w:tcPr>
          <w:p w14:paraId="70F97030" w14:textId="77949224" w:rsidR="005810F4" w:rsidRPr="00C745D3" w:rsidRDefault="005810F4" w:rsidP="006571F8">
            <w:pPr>
              <w:pStyle w:val="TAC"/>
              <w:rPr>
                <w:rFonts w:ascii="Times New Roman" w:hAnsi="Times New Roman"/>
                <w:sz w:val="21"/>
                <w:szCs w:val="21"/>
                <w:lang w:val="de-DE" w:eastAsia="zh-CN"/>
              </w:rPr>
            </w:pPr>
            <w:r w:rsidRPr="00C745D3">
              <w:rPr>
                <w:rFonts w:ascii="Times New Roman" w:hAnsi="Times New Roman"/>
                <w:sz w:val="21"/>
                <w:szCs w:val="21"/>
                <w:lang w:val="de-DE"/>
              </w:rPr>
              <w:t xml:space="preserve">0 – </w:t>
            </w:r>
            <w:r>
              <w:rPr>
                <w:rFonts w:ascii="Times New Roman" w:hAnsi="Times New Roman"/>
                <w:sz w:val="21"/>
                <w:szCs w:val="21"/>
                <w:lang w:val="de-DE"/>
              </w:rPr>
              <w:t>2</w:t>
            </w:r>
            <w:r w:rsidRPr="00C745D3">
              <w:rPr>
                <w:rFonts w:ascii="Times New Roman" w:hAnsi="Times New Roman"/>
                <w:sz w:val="21"/>
                <w:szCs w:val="21"/>
                <w:lang w:val="de-DE" w:eastAsia="zh-CN"/>
              </w:rPr>
              <w:t>3</w:t>
            </w:r>
          </w:p>
        </w:tc>
        <w:tc>
          <w:tcPr>
            <w:tcW w:w="0" w:type="auto"/>
            <w:vAlign w:val="center"/>
          </w:tcPr>
          <w:p w14:paraId="2C51C77E" w14:textId="7A3635DE" w:rsidR="005810F4" w:rsidRPr="00C745D3" w:rsidRDefault="00BF04A3" w:rsidP="006571F8">
            <w:pPr>
              <w:pStyle w:val="TAC"/>
              <w:rPr>
                <w:rFonts w:ascii="Times New Roman" w:hAnsi="Times New Roman"/>
                <w:i/>
                <w:sz w:val="21"/>
                <w:szCs w:val="21"/>
                <w:lang w:val="de-DE"/>
              </w:rPr>
            </w:pPr>
            <w:r w:rsidRPr="00C745D3">
              <w:rPr>
                <w:rFonts w:ascii="Times New Roman" w:hAnsi="Times New Roman"/>
                <w:position w:val="-12"/>
                <w:sz w:val="21"/>
                <w:szCs w:val="21"/>
              </w:rPr>
              <w:object w:dxaOrig="1240" w:dyaOrig="360" w14:anchorId="3F7B9D45">
                <v:shape id="_x0000_i1028" type="#_x0000_t75" style="width:57.5pt;height:15.6pt" o:ole="">
                  <v:imagedata r:id="rId19" o:title=""/>
                </v:shape>
                <o:OLEObject Type="Embed" ProgID="Equation.3" ShapeID="_x0000_i1028" DrawAspect="Content" ObjectID="_1568275647" r:id="rId20"/>
              </w:object>
            </w:r>
            <w:r>
              <w:rPr>
                <w:rFonts w:ascii="Times New Roman" w:hAnsi="Times New Roman"/>
                <w:sz w:val="21"/>
                <w:szCs w:val="21"/>
              </w:rPr>
              <w:t xml:space="preserve"> or </w:t>
            </w:r>
            <w:r w:rsidRPr="00C745D3">
              <w:rPr>
                <w:rFonts w:ascii="Times New Roman" w:hAnsi="Times New Roman"/>
                <w:position w:val="-12"/>
                <w:sz w:val="21"/>
                <w:szCs w:val="21"/>
              </w:rPr>
              <w:object w:dxaOrig="1060" w:dyaOrig="360" w14:anchorId="77728F95">
                <v:shape id="_x0000_i1029" type="#_x0000_t75" style="width:49.45pt;height:15.6pt" o:ole="">
                  <v:imagedata r:id="rId21" o:title=""/>
                </v:shape>
                <o:OLEObject Type="Embed" ProgID="Equation.3" ShapeID="_x0000_i1029" DrawAspect="Content" ObjectID="_1568275648" r:id="rId22"/>
              </w:object>
            </w:r>
          </w:p>
        </w:tc>
      </w:tr>
      <w:tr w:rsidR="005810F4" w:rsidRPr="00E9040D" w14:paraId="24C98637" w14:textId="77777777" w:rsidTr="006571F8">
        <w:trPr>
          <w:cantSplit/>
          <w:jc w:val="center"/>
        </w:trPr>
        <w:tc>
          <w:tcPr>
            <w:tcW w:w="0" w:type="auto"/>
            <w:vAlign w:val="center"/>
          </w:tcPr>
          <w:p w14:paraId="4D182E8A" w14:textId="618C0985" w:rsidR="005810F4" w:rsidRPr="00C745D3" w:rsidRDefault="005810F4" w:rsidP="006571F8">
            <w:pPr>
              <w:pStyle w:val="TAC"/>
              <w:rPr>
                <w:rFonts w:ascii="Times New Roman" w:hAnsi="Times New Roman"/>
                <w:sz w:val="21"/>
                <w:szCs w:val="21"/>
                <w:lang w:val="de-DE" w:eastAsia="zh-CN"/>
              </w:rPr>
            </w:pPr>
            <w:r>
              <w:rPr>
                <w:rFonts w:ascii="Times New Roman" w:hAnsi="Times New Roman"/>
                <w:sz w:val="21"/>
                <w:szCs w:val="21"/>
                <w:lang w:val="de-DE" w:eastAsia="zh-CN"/>
              </w:rPr>
              <w:t>2</w:t>
            </w:r>
            <w:r w:rsidRPr="00C745D3">
              <w:rPr>
                <w:rFonts w:ascii="Times New Roman" w:hAnsi="Times New Roman"/>
                <w:sz w:val="21"/>
                <w:szCs w:val="21"/>
                <w:lang w:val="de-DE" w:eastAsia="zh-CN"/>
              </w:rPr>
              <w:t>4-</w:t>
            </w:r>
            <w:r>
              <w:rPr>
                <w:rFonts w:ascii="Times New Roman" w:hAnsi="Times New Roman"/>
                <w:sz w:val="21"/>
                <w:szCs w:val="21"/>
                <w:lang w:val="de-DE" w:eastAsia="zh-CN"/>
              </w:rPr>
              <w:t>3</w:t>
            </w:r>
            <w:r w:rsidRPr="00C745D3">
              <w:rPr>
                <w:rFonts w:ascii="Times New Roman" w:hAnsi="Times New Roman"/>
                <w:sz w:val="21"/>
                <w:szCs w:val="21"/>
                <w:lang w:val="de-DE" w:eastAsia="zh-CN"/>
              </w:rPr>
              <w:t>5</w:t>
            </w:r>
          </w:p>
        </w:tc>
        <w:tc>
          <w:tcPr>
            <w:tcW w:w="0" w:type="auto"/>
            <w:vAlign w:val="center"/>
          </w:tcPr>
          <w:p w14:paraId="33BE40D2" w14:textId="3A73BA6A" w:rsidR="005810F4" w:rsidRPr="00C745D3" w:rsidRDefault="00BF04A3" w:rsidP="006571F8">
            <w:pPr>
              <w:pStyle w:val="TAC"/>
              <w:rPr>
                <w:rFonts w:ascii="Times New Roman" w:hAnsi="Times New Roman"/>
                <w:sz w:val="21"/>
                <w:szCs w:val="21"/>
                <w:lang w:val="de-DE" w:eastAsia="zh-CN"/>
              </w:rPr>
            </w:pPr>
            <w:r w:rsidRPr="00C745D3">
              <w:rPr>
                <w:rFonts w:ascii="Times New Roman" w:hAnsi="Times New Roman"/>
                <w:position w:val="-12"/>
                <w:sz w:val="21"/>
                <w:szCs w:val="21"/>
              </w:rPr>
              <w:object w:dxaOrig="2340" w:dyaOrig="360" w14:anchorId="044D44C6">
                <v:shape id="_x0000_i1030" type="#_x0000_t75" style="width:110.7pt;height:17.2pt" o:ole="">
                  <v:imagedata r:id="rId23" o:title=""/>
                </v:shape>
                <o:OLEObject Type="Embed" ProgID="Equation.3" ShapeID="_x0000_i1030" DrawAspect="Content" ObjectID="_1568275649" r:id="rId24"/>
              </w:object>
            </w:r>
            <w:r>
              <w:rPr>
                <w:rFonts w:ascii="Times New Roman" w:hAnsi="Times New Roman"/>
                <w:sz w:val="21"/>
                <w:szCs w:val="21"/>
              </w:rPr>
              <w:t xml:space="preserve"> or </w:t>
            </w:r>
            <w:r w:rsidRPr="00C745D3">
              <w:rPr>
                <w:rFonts w:ascii="Times New Roman" w:hAnsi="Times New Roman"/>
                <w:position w:val="-12"/>
                <w:sz w:val="21"/>
                <w:szCs w:val="21"/>
              </w:rPr>
              <w:object w:dxaOrig="2000" w:dyaOrig="360" w14:anchorId="530FE565">
                <v:shape id="_x0000_i1031" type="#_x0000_t75" style="width:94.05pt;height:17.2pt" o:ole="">
                  <v:imagedata r:id="rId25" o:title=""/>
                </v:shape>
                <o:OLEObject Type="Embed" ProgID="Equation.3" ShapeID="_x0000_i1031" DrawAspect="Content" ObjectID="_1568275650" r:id="rId26"/>
              </w:object>
            </w:r>
          </w:p>
        </w:tc>
      </w:tr>
      <w:tr w:rsidR="005810F4" w:rsidRPr="00E9040D" w14:paraId="79140E00" w14:textId="77777777" w:rsidTr="006571F8">
        <w:trPr>
          <w:cantSplit/>
          <w:jc w:val="center"/>
        </w:trPr>
        <w:tc>
          <w:tcPr>
            <w:tcW w:w="0" w:type="auto"/>
            <w:vAlign w:val="center"/>
          </w:tcPr>
          <w:p w14:paraId="622EC239" w14:textId="012CA3AD" w:rsidR="005810F4" w:rsidRPr="00C745D3" w:rsidRDefault="005810F4" w:rsidP="006571F8">
            <w:pPr>
              <w:pStyle w:val="TAC"/>
              <w:rPr>
                <w:rFonts w:ascii="Times New Roman" w:hAnsi="Times New Roman"/>
                <w:sz w:val="21"/>
                <w:szCs w:val="21"/>
                <w:lang w:val="de-DE" w:eastAsia="zh-CN"/>
              </w:rPr>
            </w:pPr>
            <w:r>
              <w:rPr>
                <w:rFonts w:ascii="Times New Roman" w:hAnsi="Times New Roman"/>
                <w:sz w:val="21"/>
                <w:szCs w:val="21"/>
                <w:lang w:val="de-DE" w:eastAsia="zh-CN"/>
              </w:rPr>
              <w:t>3</w:t>
            </w:r>
            <w:r w:rsidRPr="00C745D3">
              <w:rPr>
                <w:rFonts w:ascii="Times New Roman" w:hAnsi="Times New Roman"/>
                <w:sz w:val="21"/>
                <w:szCs w:val="21"/>
                <w:lang w:val="de-DE" w:eastAsia="zh-CN"/>
              </w:rPr>
              <w:t>6</w:t>
            </w:r>
            <w:r>
              <w:rPr>
                <w:rFonts w:ascii="Times New Roman" w:hAnsi="Times New Roman"/>
                <w:sz w:val="21"/>
                <w:szCs w:val="21"/>
                <w:lang w:val="de-DE" w:eastAsia="zh-CN"/>
              </w:rPr>
              <w:t>-41</w:t>
            </w:r>
          </w:p>
        </w:tc>
        <w:tc>
          <w:tcPr>
            <w:tcW w:w="0" w:type="auto"/>
            <w:vAlign w:val="center"/>
          </w:tcPr>
          <w:p w14:paraId="36DDE12B" w14:textId="066099DA" w:rsidR="005810F4" w:rsidRPr="00C745D3" w:rsidRDefault="005810F4" w:rsidP="006571F8">
            <w:pPr>
              <w:pStyle w:val="TAC"/>
              <w:rPr>
                <w:rFonts w:ascii="Times New Roman" w:hAnsi="Times New Roman"/>
                <w:sz w:val="21"/>
                <w:szCs w:val="21"/>
                <w:lang w:eastAsia="zh-CN"/>
              </w:rPr>
            </w:pPr>
            <w:r w:rsidRPr="00C745D3">
              <w:rPr>
                <w:rFonts w:ascii="Times New Roman" w:hAnsi="Times New Roman"/>
                <w:position w:val="-12"/>
                <w:sz w:val="21"/>
                <w:szCs w:val="21"/>
              </w:rPr>
              <w:object w:dxaOrig="2780" w:dyaOrig="360" w14:anchorId="23541834">
                <v:shape id="_x0000_i1032" type="#_x0000_t75" style="width:128.4pt;height:16.65pt" o:ole="">
                  <v:imagedata r:id="rId27" o:title=""/>
                </v:shape>
                <o:OLEObject Type="Embed" ProgID="Equation.3" ShapeID="_x0000_i1032" DrawAspect="Content" ObjectID="_1568275651" r:id="rId28"/>
              </w:object>
            </w:r>
          </w:p>
        </w:tc>
      </w:tr>
      <w:tr w:rsidR="005810F4" w:rsidRPr="00E9040D" w14:paraId="4F7EC4E9" w14:textId="77777777" w:rsidTr="006571F8">
        <w:trPr>
          <w:cantSplit/>
          <w:jc w:val="center"/>
        </w:trPr>
        <w:tc>
          <w:tcPr>
            <w:tcW w:w="0" w:type="auto"/>
            <w:vAlign w:val="center"/>
          </w:tcPr>
          <w:p w14:paraId="116A1EF9" w14:textId="20DD168F" w:rsidR="005810F4" w:rsidRPr="00C745D3" w:rsidRDefault="005810F4" w:rsidP="006571F8">
            <w:pPr>
              <w:pStyle w:val="TAC"/>
              <w:rPr>
                <w:rFonts w:ascii="Times New Roman" w:hAnsi="Times New Roman"/>
                <w:sz w:val="21"/>
                <w:szCs w:val="21"/>
                <w:lang w:val="de-DE" w:eastAsia="zh-CN"/>
              </w:rPr>
            </w:pPr>
            <w:r>
              <w:rPr>
                <w:rFonts w:ascii="Times New Roman" w:hAnsi="Times New Roman"/>
                <w:sz w:val="21"/>
                <w:szCs w:val="21"/>
                <w:lang w:val="de-DE" w:eastAsia="zh-CN"/>
              </w:rPr>
              <w:t>42-46</w:t>
            </w:r>
          </w:p>
        </w:tc>
        <w:tc>
          <w:tcPr>
            <w:tcW w:w="0" w:type="auto"/>
            <w:vAlign w:val="center"/>
          </w:tcPr>
          <w:p w14:paraId="2F32EB6F" w14:textId="48AE65DB" w:rsidR="005810F4" w:rsidRPr="00C745D3" w:rsidRDefault="005810F4" w:rsidP="006571F8">
            <w:pPr>
              <w:pStyle w:val="TAC"/>
              <w:rPr>
                <w:rFonts w:ascii="Times New Roman" w:hAnsi="Times New Roman"/>
                <w:sz w:val="21"/>
                <w:szCs w:val="21"/>
                <w:lang w:val="de-DE" w:eastAsia="zh-CN"/>
              </w:rPr>
            </w:pPr>
            <w:r w:rsidRPr="00C745D3">
              <w:rPr>
                <w:rFonts w:ascii="Times New Roman" w:hAnsi="Times New Roman"/>
                <w:position w:val="-12"/>
                <w:sz w:val="21"/>
                <w:szCs w:val="21"/>
              </w:rPr>
              <w:object w:dxaOrig="2860" w:dyaOrig="360" w14:anchorId="0A2E6A30">
                <v:shape id="_x0000_i1033" type="#_x0000_t75" style="width:132.2pt;height:16.65pt" o:ole="">
                  <v:imagedata r:id="rId29" o:title=""/>
                </v:shape>
                <o:OLEObject Type="Embed" ProgID="Equation.3" ShapeID="_x0000_i1033" DrawAspect="Content" ObjectID="_1568275652" r:id="rId30"/>
              </w:object>
            </w:r>
          </w:p>
        </w:tc>
      </w:tr>
      <w:tr w:rsidR="005810F4" w:rsidRPr="00E9040D" w14:paraId="17218851" w14:textId="77777777" w:rsidTr="006571F8">
        <w:trPr>
          <w:cantSplit/>
          <w:jc w:val="center"/>
        </w:trPr>
        <w:tc>
          <w:tcPr>
            <w:tcW w:w="0" w:type="auto"/>
            <w:vAlign w:val="center"/>
          </w:tcPr>
          <w:p w14:paraId="68FFAB57" w14:textId="3FEDB135" w:rsidR="005810F4" w:rsidRDefault="005810F4" w:rsidP="006571F8">
            <w:pPr>
              <w:pStyle w:val="TAC"/>
              <w:rPr>
                <w:rFonts w:ascii="Times New Roman" w:hAnsi="Times New Roman"/>
                <w:sz w:val="21"/>
                <w:szCs w:val="21"/>
                <w:lang w:val="de-DE" w:eastAsia="zh-CN"/>
              </w:rPr>
            </w:pPr>
            <w:r>
              <w:rPr>
                <w:rFonts w:ascii="Times New Roman" w:hAnsi="Times New Roman" w:hint="eastAsia"/>
                <w:sz w:val="21"/>
                <w:szCs w:val="21"/>
                <w:lang w:val="de-DE" w:eastAsia="zh-CN"/>
              </w:rPr>
              <w:t>47-50</w:t>
            </w:r>
          </w:p>
        </w:tc>
        <w:tc>
          <w:tcPr>
            <w:tcW w:w="0" w:type="auto"/>
            <w:vAlign w:val="center"/>
          </w:tcPr>
          <w:p w14:paraId="335D2357" w14:textId="3671EBD2" w:rsidR="005810F4" w:rsidRPr="00C745D3" w:rsidRDefault="005810F4" w:rsidP="006571F8">
            <w:pPr>
              <w:pStyle w:val="TAC"/>
              <w:rPr>
                <w:rFonts w:ascii="Times New Roman" w:hAnsi="Times New Roman"/>
                <w:sz w:val="21"/>
                <w:szCs w:val="21"/>
              </w:rPr>
            </w:pPr>
            <w:r w:rsidRPr="00C745D3">
              <w:rPr>
                <w:rFonts w:ascii="Times New Roman" w:hAnsi="Times New Roman"/>
                <w:position w:val="-12"/>
                <w:sz w:val="21"/>
                <w:szCs w:val="21"/>
              </w:rPr>
              <w:object w:dxaOrig="2860" w:dyaOrig="360" w14:anchorId="1AA285A1">
                <v:shape id="_x0000_i1034" type="#_x0000_t75" style="width:132.2pt;height:16.65pt" o:ole="">
                  <v:imagedata r:id="rId31" o:title=""/>
                </v:shape>
                <o:OLEObject Type="Embed" ProgID="Equation.3" ShapeID="_x0000_i1034" DrawAspect="Content" ObjectID="_1568275653" r:id="rId32"/>
              </w:object>
            </w:r>
          </w:p>
        </w:tc>
      </w:tr>
      <w:tr w:rsidR="005810F4" w:rsidRPr="00E9040D" w14:paraId="7761E220" w14:textId="77777777" w:rsidTr="006571F8">
        <w:trPr>
          <w:cantSplit/>
          <w:jc w:val="center"/>
        </w:trPr>
        <w:tc>
          <w:tcPr>
            <w:tcW w:w="0" w:type="auto"/>
            <w:vAlign w:val="center"/>
          </w:tcPr>
          <w:p w14:paraId="07C5F2D8" w14:textId="290EE285" w:rsidR="005810F4" w:rsidRDefault="005810F4" w:rsidP="006571F8">
            <w:pPr>
              <w:pStyle w:val="TAC"/>
              <w:rPr>
                <w:rFonts w:ascii="Times New Roman" w:hAnsi="Times New Roman"/>
                <w:sz w:val="21"/>
                <w:szCs w:val="21"/>
                <w:lang w:val="de-DE" w:eastAsia="zh-CN"/>
              </w:rPr>
            </w:pPr>
            <w:r>
              <w:rPr>
                <w:rFonts w:ascii="Times New Roman" w:hAnsi="Times New Roman" w:hint="eastAsia"/>
                <w:sz w:val="21"/>
                <w:szCs w:val="21"/>
                <w:lang w:val="de-DE" w:eastAsia="zh-CN"/>
              </w:rPr>
              <w:t>51-53</w:t>
            </w:r>
          </w:p>
        </w:tc>
        <w:tc>
          <w:tcPr>
            <w:tcW w:w="0" w:type="auto"/>
            <w:vAlign w:val="center"/>
          </w:tcPr>
          <w:p w14:paraId="5001FD5E" w14:textId="12CD7F36" w:rsidR="005810F4" w:rsidRPr="00C745D3" w:rsidRDefault="005810F4" w:rsidP="006571F8">
            <w:pPr>
              <w:pStyle w:val="TAC"/>
              <w:rPr>
                <w:rFonts w:ascii="Times New Roman" w:hAnsi="Times New Roman"/>
                <w:sz w:val="21"/>
                <w:szCs w:val="21"/>
              </w:rPr>
            </w:pPr>
            <w:r w:rsidRPr="00C745D3">
              <w:rPr>
                <w:rFonts w:ascii="Times New Roman" w:hAnsi="Times New Roman"/>
                <w:position w:val="-12"/>
                <w:sz w:val="21"/>
                <w:szCs w:val="21"/>
              </w:rPr>
              <w:object w:dxaOrig="2840" w:dyaOrig="360" w14:anchorId="7C35834F">
                <v:shape id="_x0000_i1035" type="#_x0000_t75" style="width:130.55pt;height:16.65pt" o:ole="">
                  <v:imagedata r:id="rId33" o:title=""/>
                </v:shape>
                <o:OLEObject Type="Embed" ProgID="Equation.3" ShapeID="_x0000_i1035" DrawAspect="Content" ObjectID="_1568275654" r:id="rId34"/>
              </w:object>
            </w:r>
          </w:p>
        </w:tc>
      </w:tr>
      <w:tr w:rsidR="005810F4" w:rsidRPr="00E9040D" w14:paraId="67996C92" w14:textId="77777777" w:rsidTr="006571F8">
        <w:trPr>
          <w:cantSplit/>
          <w:jc w:val="center"/>
        </w:trPr>
        <w:tc>
          <w:tcPr>
            <w:tcW w:w="0" w:type="auto"/>
            <w:vAlign w:val="center"/>
          </w:tcPr>
          <w:p w14:paraId="54F44B45" w14:textId="5C57CECC" w:rsidR="005810F4" w:rsidRDefault="005810F4" w:rsidP="006571F8">
            <w:pPr>
              <w:pStyle w:val="TAC"/>
              <w:rPr>
                <w:rFonts w:ascii="Times New Roman" w:hAnsi="Times New Roman"/>
                <w:sz w:val="21"/>
                <w:szCs w:val="21"/>
                <w:lang w:val="de-DE" w:eastAsia="zh-CN"/>
              </w:rPr>
            </w:pPr>
            <w:r>
              <w:rPr>
                <w:rFonts w:ascii="Times New Roman" w:hAnsi="Times New Roman" w:hint="eastAsia"/>
                <w:sz w:val="21"/>
                <w:szCs w:val="21"/>
                <w:lang w:val="de-DE" w:eastAsia="zh-CN"/>
              </w:rPr>
              <w:t>54-55</w:t>
            </w:r>
          </w:p>
        </w:tc>
        <w:tc>
          <w:tcPr>
            <w:tcW w:w="0" w:type="auto"/>
            <w:vAlign w:val="center"/>
          </w:tcPr>
          <w:p w14:paraId="3AF86DCF" w14:textId="68343730" w:rsidR="005810F4" w:rsidRPr="00C745D3" w:rsidRDefault="005810F4" w:rsidP="006571F8">
            <w:pPr>
              <w:pStyle w:val="TAC"/>
              <w:rPr>
                <w:rFonts w:ascii="Times New Roman" w:hAnsi="Times New Roman"/>
                <w:sz w:val="21"/>
                <w:szCs w:val="21"/>
              </w:rPr>
            </w:pPr>
            <w:r w:rsidRPr="00C745D3">
              <w:rPr>
                <w:rFonts w:ascii="Times New Roman" w:hAnsi="Times New Roman"/>
                <w:position w:val="-12"/>
                <w:sz w:val="21"/>
                <w:szCs w:val="21"/>
              </w:rPr>
              <w:object w:dxaOrig="2860" w:dyaOrig="360" w14:anchorId="39FC2526">
                <v:shape id="_x0000_i1036" type="#_x0000_t75" style="width:132.2pt;height:16.65pt" o:ole="">
                  <v:imagedata r:id="rId35" o:title=""/>
                </v:shape>
                <o:OLEObject Type="Embed" ProgID="Equation.3" ShapeID="_x0000_i1036" DrawAspect="Content" ObjectID="_1568275655" r:id="rId36"/>
              </w:object>
            </w:r>
          </w:p>
        </w:tc>
      </w:tr>
      <w:tr w:rsidR="005810F4" w:rsidRPr="00E9040D" w14:paraId="27F0A023" w14:textId="77777777" w:rsidTr="006571F8">
        <w:trPr>
          <w:cantSplit/>
          <w:jc w:val="center"/>
        </w:trPr>
        <w:tc>
          <w:tcPr>
            <w:tcW w:w="0" w:type="auto"/>
            <w:vAlign w:val="center"/>
          </w:tcPr>
          <w:p w14:paraId="767CFA58" w14:textId="1CF8EF9C" w:rsidR="005810F4" w:rsidRDefault="005810F4" w:rsidP="006571F8">
            <w:pPr>
              <w:pStyle w:val="TAC"/>
              <w:rPr>
                <w:rFonts w:ascii="Times New Roman" w:hAnsi="Times New Roman"/>
                <w:sz w:val="21"/>
                <w:szCs w:val="21"/>
                <w:lang w:val="de-DE" w:eastAsia="zh-CN"/>
              </w:rPr>
            </w:pPr>
            <w:r>
              <w:rPr>
                <w:rFonts w:ascii="Times New Roman" w:hAnsi="Times New Roman" w:hint="eastAsia"/>
                <w:sz w:val="21"/>
                <w:szCs w:val="21"/>
                <w:lang w:val="de-DE" w:eastAsia="zh-CN"/>
              </w:rPr>
              <w:t>56</w:t>
            </w:r>
          </w:p>
        </w:tc>
        <w:tc>
          <w:tcPr>
            <w:tcW w:w="0" w:type="auto"/>
            <w:vAlign w:val="center"/>
          </w:tcPr>
          <w:p w14:paraId="339CF85C" w14:textId="21E8A633" w:rsidR="005810F4" w:rsidRPr="00C745D3" w:rsidRDefault="005810F4" w:rsidP="006571F8">
            <w:pPr>
              <w:pStyle w:val="TAC"/>
              <w:rPr>
                <w:rFonts w:ascii="Times New Roman" w:hAnsi="Times New Roman"/>
                <w:sz w:val="21"/>
                <w:szCs w:val="21"/>
              </w:rPr>
            </w:pPr>
            <w:r w:rsidRPr="00C745D3">
              <w:rPr>
                <w:rFonts w:ascii="Times New Roman" w:hAnsi="Times New Roman"/>
                <w:position w:val="-12"/>
                <w:sz w:val="21"/>
                <w:szCs w:val="21"/>
              </w:rPr>
              <w:object w:dxaOrig="2840" w:dyaOrig="360" w14:anchorId="25D1615E">
                <v:shape id="_x0000_i1037" type="#_x0000_t75" style="width:130.55pt;height:16.65pt" o:ole="">
                  <v:imagedata r:id="rId37" o:title=""/>
                </v:shape>
                <o:OLEObject Type="Embed" ProgID="Equation.3" ShapeID="_x0000_i1037" DrawAspect="Content" ObjectID="_1568275656" r:id="rId38"/>
              </w:object>
            </w:r>
          </w:p>
        </w:tc>
      </w:tr>
      <w:tr w:rsidR="005810F4" w:rsidRPr="00E9040D" w14:paraId="3BC84111" w14:textId="77777777" w:rsidTr="006571F8">
        <w:trPr>
          <w:cantSplit/>
          <w:jc w:val="center"/>
        </w:trPr>
        <w:tc>
          <w:tcPr>
            <w:tcW w:w="0" w:type="auto"/>
            <w:vAlign w:val="center"/>
          </w:tcPr>
          <w:p w14:paraId="2DC6AC14" w14:textId="02DC4B26" w:rsidR="005810F4" w:rsidRDefault="005810F4" w:rsidP="006571F8">
            <w:pPr>
              <w:pStyle w:val="TAC"/>
              <w:rPr>
                <w:rFonts w:ascii="Times New Roman" w:hAnsi="Times New Roman"/>
                <w:sz w:val="21"/>
                <w:szCs w:val="21"/>
                <w:lang w:val="de-DE" w:eastAsia="zh-CN"/>
              </w:rPr>
            </w:pPr>
            <w:r>
              <w:rPr>
                <w:rFonts w:ascii="Times New Roman" w:hAnsi="Times New Roman" w:hint="eastAsia"/>
                <w:sz w:val="21"/>
                <w:szCs w:val="21"/>
                <w:lang w:val="de-DE" w:eastAsia="zh-CN"/>
              </w:rPr>
              <w:t>57-63</w:t>
            </w:r>
          </w:p>
        </w:tc>
        <w:tc>
          <w:tcPr>
            <w:tcW w:w="0" w:type="auto"/>
            <w:vAlign w:val="center"/>
          </w:tcPr>
          <w:p w14:paraId="39C4539B" w14:textId="5BF83D0E" w:rsidR="005810F4" w:rsidRPr="00C745D3" w:rsidRDefault="005810F4" w:rsidP="006571F8">
            <w:pPr>
              <w:pStyle w:val="TAC"/>
              <w:rPr>
                <w:rFonts w:ascii="Times New Roman" w:hAnsi="Times New Roman"/>
                <w:sz w:val="21"/>
                <w:szCs w:val="21"/>
                <w:lang w:eastAsia="zh-CN"/>
              </w:rPr>
            </w:pPr>
            <w:r>
              <w:rPr>
                <w:rFonts w:ascii="Times New Roman" w:hAnsi="Times New Roman" w:hint="eastAsia"/>
                <w:sz w:val="21"/>
                <w:szCs w:val="21"/>
                <w:lang w:eastAsia="zh-CN"/>
              </w:rPr>
              <w:t>Reserved</w:t>
            </w:r>
          </w:p>
        </w:tc>
      </w:tr>
    </w:tbl>
    <w:p w14:paraId="70FA1A51" w14:textId="77777777" w:rsidR="005810F4" w:rsidRDefault="005810F4" w:rsidP="005810F4">
      <w:pPr>
        <w:jc w:val="both"/>
      </w:pPr>
    </w:p>
    <w:p w14:paraId="1978C3F4" w14:textId="3DBECBFF" w:rsidR="002D3C67" w:rsidRDefault="00575900" w:rsidP="005810F4">
      <w:pPr>
        <w:jc w:val="both"/>
      </w:pPr>
      <w:r>
        <w:t xml:space="preserve">The 6-bit resource assignment can be </w:t>
      </w:r>
      <w:r w:rsidR="002D3C67">
        <w:t>supported by extending the existing DCI format 6-0A and 6-0B or using the NB-I</w:t>
      </w:r>
      <w:r w:rsidR="008E74AA">
        <w:t>o</w:t>
      </w:r>
      <w:r w:rsidR="002D3C67">
        <w:t>T DCI format N0. In any case, the new resource assignment field is only supported for DCI format mapped to UE specific search space given by the C-RNTI. For the DCI format mapped to the common search space the legacy resource assignment field is used to allow the fallback.</w:t>
      </w:r>
    </w:p>
    <w:p w14:paraId="0B315FCF" w14:textId="17E1F1E7" w:rsidR="002D3C67" w:rsidRDefault="002D3C67" w:rsidP="002D3C67">
      <w:pPr>
        <w:rPr>
          <w:b/>
          <w:lang w:val="en-GB"/>
        </w:rPr>
      </w:pPr>
      <w:r w:rsidRPr="005648A0">
        <w:rPr>
          <w:b/>
          <w:u w:val="single"/>
          <w:lang w:val="en-GB"/>
        </w:rPr>
        <w:t xml:space="preserve">Proposal </w:t>
      </w:r>
      <w:r>
        <w:rPr>
          <w:b/>
          <w:u w:val="single"/>
          <w:lang w:val="en-GB"/>
        </w:rPr>
        <w:t>3</w:t>
      </w:r>
      <w:r w:rsidRPr="005648A0">
        <w:rPr>
          <w:b/>
          <w:lang w:val="en-GB"/>
        </w:rPr>
        <w:t xml:space="preserve">: </w:t>
      </w:r>
      <w:r w:rsidR="00AA6E3C">
        <w:rPr>
          <w:b/>
          <w:lang w:val="en-GB"/>
        </w:rPr>
        <w:t xml:space="preserve">Adopt Table 1 for the resource assignment indication when the sub-PRB </w:t>
      </w:r>
      <w:r w:rsidR="002204F5">
        <w:rPr>
          <w:b/>
          <w:lang w:val="en-GB"/>
        </w:rPr>
        <w:t>mode is configured.</w:t>
      </w:r>
    </w:p>
    <w:p w14:paraId="0C29CC26" w14:textId="51802E8C" w:rsidR="00AA6E3C" w:rsidRDefault="00AA6E3C" w:rsidP="00AA6E3C">
      <w:pPr>
        <w:pStyle w:val="Heading2"/>
      </w:pPr>
      <w:r>
        <w:t>MCS/TBS mapping</w:t>
      </w:r>
    </w:p>
    <w:p w14:paraId="0B991FA7" w14:textId="48934BDF" w:rsidR="00F40776" w:rsidRDefault="00AA6E3C" w:rsidP="00F40776">
      <w:pPr>
        <w:jc w:val="both"/>
      </w:pPr>
      <w:r>
        <w:t xml:space="preserve">In Rel-13 NB-IoT </w:t>
      </w:r>
      <w:r w:rsidR="007E0234">
        <w:t xml:space="preserve">only </w:t>
      </w:r>
      <w:r w:rsidR="00E2272D">
        <w:t>QPSK i</w:t>
      </w:r>
      <w:r w:rsidR="00DE094E">
        <w:t xml:space="preserve">s supported </w:t>
      </w:r>
      <w:r>
        <w:t xml:space="preserve">for </w:t>
      </w:r>
      <w:r w:rsidR="00E2272D">
        <w:t xml:space="preserve">multi-tone </w:t>
      </w:r>
      <w:r>
        <w:t xml:space="preserve">NPUSCH transmission. However, </w:t>
      </w:r>
      <w:r w:rsidR="00F40776">
        <w:t xml:space="preserve">both QPSK and 16QAM are allowed </w:t>
      </w:r>
      <w:r>
        <w:t>in eMTC</w:t>
      </w:r>
      <w:r w:rsidR="00F40776">
        <w:t>. Since the intension of the sub-PRB allocation is to improve the UL spectrum efficiency</w:t>
      </w:r>
      <w:r w:rsidR="008E74AA">
        <w:t xml:space="preserve"> in general</w:t>
      </w:r>
      <w:r w:rsidR="00F40776">
        <w:t xml:space="preserve">, </w:t>
      </w:r>
      <w:r w:rsidR="008E74AA">
        <w:t>not only for very low SNR. U</w:t>
      </w:r>
      <w:r w:rsidR="00F40776">
        <w:t xml:space="preserve">sing </w:t>
      </w:r>
      <w:r w:rsidR="00F40776" w:rsidRPr="00F40776">
        <w:t xml:space="preserve">16 QAM with sub-PRB allocation can further improve the PUSCH spectrum efficiency. In many applications, a low data rate UE may have a very small payload to transmit. In high SNR scenarios using the current minimum allocation of </w:t>
      </w:r>
      <w:r w:rsidR="008E74AA">
        <w:t>one</w:t>
      </w:r>
      <w:r w:rsidR="00F40776" w:rsidRPr="00F40776">
        <w:t xml:space="preserve"> PRB may be wasteful of UL resources. The UE may be able to transmit data with </w:t>
      </w:r>
      <w:r w:rsidR="00F40776">
        <w:t>1</w:t>
      </w:r>
      <w:r w:rsidR="00F40776" w:rsidRPr="00F40776">
        <w:t xml:space="preserve">6QAM modulation and </w:t>
      </w:r>
      <w:r w:rsidR="00F40776" w:rsidRPr="00F40776">
        <w:lastRenderedPageBreak/>
        <w:t>3 tones still meet</w:t>
      </w:r>
      <w:r w:rsidR="00F40776">
        <w:t>ing</w:t>
      </w:r>
      <w:r w:rsidR="00F40776" w:rsidRPr="00F40776">
        <w:t xml:space="preserve"> its performance requirement. The remaining fractional PRBs may then be used for other UEs. This can significantly boost the system capacity</w:t>
      </w:r>
      <w:r w:rsidR="00F40776">
        <w:t>.</w:t>
      </w:r>
    </w:p>
    <w:p w14:paraId="709C5D67" w14:textId="6176343B" w:rsidR="00F40776" w:rsidRDefault="00F40776" w:rsidP="00F40776">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 xml:space="preserve">16QAM shall be supported for </w:t>
      </w:r>
      <w:r w:rsidR="002204F5">
        <w:rPr>
          <w:b/>
          <w:lang w:val="en-GB"/>
        </w:rPr>
        <w:t xml:space="preserve">at least some of </w:t>
      </w:r>
      <w:r>
        <w:rPr>
          <w:b/>
          <w:lang w:val="en-GB"/>
        </w:rPr>
        <w:t xml:space="preserve">the </w:t>
      </w:r>
      <w:r w:rsidR="00E2272D">
        <w:rPr>
          <w:b/>
          <w:lang w:val="en-GB"/>
        </w:rPr>
        <w:t xml:space="preserve">UL </w:t>
      </w:r>
      <w:r>
        <w:rPr>
          <w:b/>
          <w:lang w:val="en-GB"/>
        </w:rPr>
        <w:t>sub-PRB resource allocation.</w:t>
      </w:r>
    </w:p>
    <w:p w14:paraId="761C5F10" w14:textId="5FCB2176" w:rsidR="002204F5" w:rsidRDefault="003903B5" w:rsidP="00766551">
      <w:pPr>
        <w:jc w:val="both"/>
        <w:rPr>
          <w:lang w:val="en-GB" w:eastAsia="zh-CN"/>
        </w:rPr>
      </w:pPr>
      <w:r>
        <w:rPr>
          <w:lang w:val="en-GB" w:eastAsia="zh-CN"/>
        </w:rPr>
        <w:t>In deep coverage, the number of subcarriers allocated is expected to be small, e.g., 2 or 3. In this case, it is possible to further reduce PAPR and hence increase PA efficiency and transmit power by adopting TPSK [3].</w:t>
      </w:r>
      <w:r w:rsidR="007973C1">
        <w:rPr>
          <w:lang w:val="en-GB" w:eastAsia="zh-CN"/>
        </w:rPr>
        <w:t xml:space="preserve"> Comparing TPSK and QPSK, the PAPR improvements are more than 2.5 dB for 2 tone allocation and more than 4.4 dB for 3 tone allocation. </w:t>
      </w:r>
      <w:r w:rsidR="002204F5">
        <w:rPr>
          <w:lang w:val="en-GB" w:eastAsia="zh-CN"/>
        </w:rPr>
        <w:t xml:space="preserve"> </w:t>
      </w:r>
      <w:r w:rsidR="00040CBE">
        <w:rPr>
          <w:lang w:val="en-GB" w:eastAsia="zh-CN"/>
        </w:rPr>
        <w:t>TPSK and its associated DMRS design has been extensively studied. For detailed PAPR/CM analysis and DMRS signal design, see [3]</w:t>
      </w:r>
      <w:r w:rsidR="00367102">
        <w:rPr>
          <w:lang w:val="en-GB" w:eastAsia="zh-CN"/>
        </w:rPr>
        <w:t xml:space="preserve"> [4]</w:t>
      </w:r>
      <w:r w:rsidR="00040CBE">
        <w:rPr>
          <w:lang w:val="en-GB" w:eastAsia="zh-CN"/>
        </w:rPr>
        <w:t xml:space="preserve"> and the references </w:t>
      </w:r>
      <w:r w:rsidR="00367102">
        <w:rPr>
          <w:lang w:val="en-GB" w:eastAsia="zh-CN"/>
        </w:rPr>
        <w:t>there</w:t>
      </w:r>
      <w:r w:rsidR="00040CBE">
        <w:rPr>
          <w:lang w:val="en-GB" w:eastAsia="zh-CN"/>
        </w:rPr>
        <w:t xml:space="preserve">in. </w:t>
      </w:r>
      <w:r w:rsidR="00367102">
        <w:rPr>
          <w:lang w:val="en-GB" w:eastAsia="zh-CN"/>
        </w:rPr>
        <w:t xml:space="preserve">Like in the case of </w:t>
      </w:r>
      <w:r w:rsidR="00367102" w:rsidRPr="00D05A6C">
        <w:rPr>
          <w:rFonts w:ascii="Symbol" w:hAnsi="Symbol"/>
          <w:lang w:val="en-GB" w:eastAsia="zh-CN"/>
        </w:rPr>
        <w:t></w:t>
      </w:r>
      <w:r w:rsidR="00367102">
        <w:rPr>
          <w:lang w:val="en-GB" w:eastAsia="zh-CN"/>
        </w:rPr>
        <w:t xml:space="preserve">/2-BPSK and </w:t>
      </w:r>
      <w:r w:rsidR="00367102" w:rsidRPr="00D05A6C">
        <w:rPr>
          <w:rFonts w:ascii="Symbol" w:hAnsi="Symbol"/>
          <w:lang w:val="en-GB" w:eastAsia="zh-CN"/>
        </w:rPr>
        <w:t></w:t>
      </w:r>
      <w:r w:rsidR="00367102">
        <w:rPr>
          <w:lang w:val="en-GB" w:eastAsia="zh-CN"/>
        </w:rPr>
        <w:t>/4-QPSK, phase shift at symbol boundaries may be applied to further reduce the PAPR.</w:t>
      </w:r>
    </w:p>
    <w:p w14:paraId="37921E17" w14:textId="5841C6AD" w:rsidR="00040CBE" w:rsidRPr="00D05A6C" w:rsidRDefault="00040CBE" w:rsidP="00766551">
      <w:pPr>
        <w:jc w:val="both"/>
        <w:rPr>
          <w:b/>
          <w:lang w:val="en-GB" w:eastAsia="zh-CN"/>
        </w:rPr>
      </w:pPr>
      <w:r w:rsidRPr="00D05A6C">
        <w:rPr>
          <w:b/>
          <w:u w:val="single"/>
          <w:lang w:val="en-GB" w:eastAsia="zh-CN"/>
        </w:rPr>
        <w:t>Proposal 5</w:t>
      </w:r>
      <w:r>
        <w:rPr>
          <w:lang w:val="en-GB" w:eastAsia="zh-CN"/>
        </w:rPr>
        <w:t xml:space="preserve">: </w:t>
      </w:r>
      <w:r w:rsidRPr="00D05A6C">
        <w:rPr>
          <w:b/>
          <w:lang w:val="en-GB" w:eastAsia="zh-CN"/>
        </w:rPr>
        <w:t xml:space="preserve">Adopt TPSK for 2 or 3 tone allocations. </w:t>
      </w:r>
    </w:p>
    <w:p w14:paraId="6E6FC9BD" w14:textId="034BA808" w:rsidR="00367102" w:rsidRPr="00D05A6C" w:rsidRDefault="00367102" w:rsidP="00D05A6C">
      <w:pPr>
        <w:pStyle w:val="ListParagraph"/>
        <w:numPr>
          <w:ilvl w:val="0"/>
          <w:numId w:val="13"/>
        </w:numPr>
        <w:spacing w:after="180"/>
        <w:ind w:left="714" w:hanging="357"/>
        <w:rPr>
          <w:rFonts w:ascii="Times New Roman" w:eastAsia="宋体" w:hAnsi="Times New Roman"/>
          <w:b/>
          <w:sz w:val="20"/>
          <w:szCs w:val="20"/>
          <w:lang w:val="en-GB"/>
        </w:rPr>
      </w:pPr>
      <w:r w:rsidRPr="00D05A6C">
        <w:rPr>
          <w:rFonts w:ascii="Times New Roman" w:eastAsia="宋体" w:hAnsi="Times New Roman"/>
          <w:b/>
          <w:sz w:val="20"/>
          <w:szCs w:val="20"/>
          <w:lang w:val="en-GB"/>
        </w:rPr>
        <w:t>FFS if phase shift at symbol boundaries is applied</w:t>
      </w:r>
    </w:p>
    <w:p w14:paraId="66E9EA51" w14:textId="6AAAEFA2" w:rsidR="00F40776" w:rsidRDefault="00E2272D" w:rsidP="00766551">
      <w:pPr>
        <w:jc w:val="both"/>
        <w:rPr>
          <w:lang w:val="en-GB" w:eastAsia="zh-CN"/>
        </w:rPr>
      </w:pPr>
      <w:r>
        <w:rPr>
          <w:rFonts w:hint="eastAsia"/>
          <w:lang w:val="en-GB" w:eastAsia="zh-CN"/>
        </w:rPr>
        <w:t xml:space="preserve">Design of </w:t>
      </w:r>
      <w:r>
        <w:rPr>
          <w:lang w:val="en-GB" w:eastAsia="zh-CN"/>
        </w:rPr>
        <w:t xml:space="preserve">TBS/MCS mapping can be based on </w:t>
      </w:r>
      <w:r w:rsidR="008E74AA">
        <w:rPr>
          <w:lang w:val="en-GB" w:eastAsia="zh-CN"/>
        </w:rPr>
        <w:t xml:space="preserve">either </w:t>
      </w:r>
      <w:r>
        <w:rPr>
          <w:lang w:val="en-GB" w:eastAsia="zh-CN"/>
        </w:rPr>
        <w:t xml:space="preserve">eMTC or NB-IoT. The existing eMTC TBS/MCS mapping table </w:t>
      </w:r>
      <w:r w:rsidR="00766551">
        <w:rPr>
          <w:lang w:val="en-GB" w:eastAsia="zh-CN"/>
        </w:rPr>
        <w:t>is preferred d</w:t>
      </w:r>
      <w:r>
        <w:rPr>
          <w:lang w:val="en-GB" w:eastAsia="zh-CN"/>
        </w:rPr>
        <w:t>ue to the support of 16QAM</w:t>
      </w:r>
      <w:r w:rsidR="00764AEB">
        <w:rPr>
          <w:lang w:val="en-GB" w:eastAsia="zh-CN"/>
        </w:rPr>
        <w:t xml:space="preserve"> and larger TBS, e.g., up to 2984 bits for 1.4MHz</w:t>
      </w:r>
      <w:r w:rsidR="00766551">
        <w:rPr>
          <w:lang w:val="en-GB" w:eastAsia="zh-CN"/>
        </w:rPr>
        <w:t xml:space="preserve">. In such case, the number of resource unit </w:t>
      </w:r>
      <w:r w:rsidR="007E0234">
        <w:rPr>
          <w:lang w:val="en-GB" w:eastAsia="zh-CN"/>
        </w:rPr>
        <w:t xml:space="preserve">for the sub-PRB allocation </w:t>
      </w:r>
      <w:r w:rsidR="00766551">
        <w:rPr>
          <w:lang w:val="en-GB" w:eastAsia="zh-CN"/>
        </w:rPr>
        <w:t xml:space="preserve">is treated as the number of PRBs when determining the TBS. </w:t>
      </w:r>
      <w:r>
        <w:rPr>
          <w:lang w:val="en-GB" w:eastAsia="zh-CN"/>
        </w:rPr>
        <w:t xml:space="preserve">It is also possible to extend the Rel-13 NB-IoT TBS/MCS mapping </w:t>
      </w:r>
      <w:r w:rsidR="00764AEB">
        <w:rPr>
          <w:lang w:val="en-GB" w:eastAsia="zh-CN"/>
        </w:rPr>
        <w:t xml:space="preserve">table </w:t>
      </w:r>
      <w:r>
        <w:rPr>
          <w:lang w:val="en-GB" w:eastAsia="zh-CN"/>
        </w:rPr>
        <w:t xml:space="preserve">for supporting 16QAM </w:t>
      </w:r>
      <w:r w:rsidR="00766551">
        <w:rPr>
          <w:lang w:val="en-GB" w:eastAsia="zh-CN"/>
        </w:rPr>
        <w:t xml:space="preserve">but this may increase UE complexity </w:t>
      </w:r>
      <w:r w:rsidR="00764AEB">
        <w:rPr>
          <w:lang w:val="en-GB" w:eastAsia="zh-CN"/>
        </w:rPr>
        <w:t>for</w:t>
      </w:r>
      <w:r w:rsidR="00766551">
        <w:rPr>
          <w:lang w:val="en-GB" w:eastAsia="zh-CN"/>
        </w:rPr>
        <w:t xml:space="preserve"> implementing two different TBS mapping tables when both sub-PRB and normal PRB based resource allocation</w:t>
      </w:r>
      <w:r w:rsidR="007E0234">
        <w:rPr>
          <w:lang w:val="en-GB" w:eastAsia="zh-CN"/>
        </w:rPr>
        <w:t>s are supported</w:t>
      </w:r>
      <w:r w:rsidR="00766551">
        <w:rPr>
          <w:lang w:val="en-GB" w:eastAsia="zh-CN"/>
        </w:rPr>
        <w:t xml:space="preserve">. </w:t>
      </w:r>
      <w:r w:rsidR="00367102">
        <w:rPr>
          <w:lang w:val="en-GB" w:eastAsia="zh-CN"/>
        </w:rPr>
        <w:t xml:space="preserve">To include TPSK without increasing the TBS/MCS table size, 16QAM modulation is not supported when TPSK is </w:t>
      </w:r>
      <w:r w:rsidR="00D05A6C">
        <w:rPr>
          <w:lang w:val="en-GB" w:eastAsia="zh-CN"/>
        </w:rPr>
        <w:t>configured</w:t>
      </w:r>
      <w:r w:rsidR="007145A2">
        <w:rPr>
          <w:lang w:val="en-GB" w:eastAsia="zh-CN"/>
        </w:rPr>
        <w:t xml:space="preserve"> and different TBS size is defined for TPSK.</w:t>
      </w:r>
    </w:p>
    <w:p w14:paraId="3D1041F4" w14:textId="788D3B5C" w:rsidR="00766551" w:rsidRDefault="00766551" w:rsidP="00766551">
      <w:pPr>
        <w:rPr>
          <w:b/>
          <w:lang w:val="en-GB"/>
        </w:rPr>
      </w:pPr>
      <w:bookmarkStart w:id="2" w:name="_Hlk494462183"/>
      <w:r w:rsidRPr="005648A0">
        <w:rPr>
          <w:b/>
          <w:u w:val="single"/>
          <w:lang w:val="en-GB"/>
        </w:rPr>
        <w:t xml:space="preserve">Proposal </w:t>
      </w:r>
      <w:r w:rsidR="00597BD6">
        <w:rPr>
          <w:b/>
          <w:u w:val="single"/>
          <w:lang w:val="en-GB"/>
        </w:rPr>
        <w:t>6</w:t>
      </w:r>
      <w:r w:rsidRPr="005648A0">
        <w:rPr>
          <w:b/>
          <w:lang w:val="en-GB"/>
        </w:rPr>
        <w:t xml:space="preserve">: </w:t>
      </w:r>
      <w:r>
        <w:rPr>
          <w:b/>
          <w:lang w:val="en-GB"/>
        </w:rPr>
        <w:t xml:space="preserve">The MCS/TBS mapping table </w:t>
      </w:r>
      <w:r w:rsidR="00764AEB">
        <w:rPr>
          <w:b/>
          <w:lang w:val="en-GB"/>
        </w:rPr>
        <w:t>f</w:t>
      </w:r>
      <w:r>
        <w:rPr>
          <w:b/>
          <w:lang w:val="en-GB"/>
        </w:rPr>
        <w:t>or the sub-PRB allocation can be based on the existing eMTC</w:t>
      </w:r>
      <w:r w:rsidR="00DE5BDC">
        <w:rPr>
          <w:b/>
          <w:lang w:val="en-GB"/>
        </w:rPr>
        <w:t xml:space="preserve"> with some entr</w:t>
      </w:r>
      <w:r w:rsidR="001233D7">
        <w:rPr>
          <w:b/>
          <w:lang w:val="en-GB"/>
        </w:rPr>
        <w:t xml:space="preserve">ies associated with 16QAM redirected to new definition </w:t>
      </w:r>
      <w:r w:rsidR="00DE5BDC">
        <w:rPr>
          <w:b/>
          <w:lang w:val="en-GB"/>
        </w:rPr>
        <w:t>for TPSK</w:t>
      </w:r>
      <w:r w:rsidR="00597BD6">
        <w:rPr>
          <w:b/>
          <w:lang w:val="en-GB"/>
        </w:rPr>
        <w:t xml:space="preserve"> in case TPSK is supported for the allocation</w:t>
      </w:r>
      <w:r>
        <w:rPr>
          <w:b/>
          <w:lang w:val="en-GB"/>
        </w:rPr>
        <w:t>.</w:t>
      </w:r>
      <w:r w:rsidR="00CF06A9">
        <w:rPr>
          <w:b/>
          <w:lang w:val="en-GB"/>
        </w:rPr>
        <w:t xml:space="preserve"> </w:t>
      </w:r>
    </w:p>
    <w:bookmarkEnd w:id="2"/>
    <w:p w14:paraId="0CE415B8" w14:textId="3BB297B6" w:rsidR="00766551" w:rsidRDefault="00766551" w:rsidP="00766551">
      <w:pPr>
        <w:pStyle w:val="Heading2"/>
      </w:pPr>
      <w:r>
        <w:t>DMRS</w:t>
      </w:r>
    </w:p>
    <w:p w14:paraId="7C29E6FF" w14:textId="533C98CA" w:rsidR="00AC2162" w:rsidRDefault="00764AEB" w:rsidP="00CF06A9">
      <w:pPr>
        <w:jc w:val="both"/>
        <w:rPr>
          <w:lang w:val="en-GB" w:eastAsia="zh-CN"/>
        </w:rPr>
      </w:pPr>
      <w:r>
        <w:rPr>
          <w:lang w:val="en-GB" w:eastAsia="zh-CN"/>
        </w:rPr>
        <w:t xml:space="preserve">For </w:t>
      </w:r>
      <w:r w:rsidR="00CF06A9">
        <w:rPr>
          <w:lang w:val="en-GB" w:eastAsia="zh-CN"/>
        </w:rPr>
        <w:t xml:space="preserve">the sub-PRB based PUSCH, it is </w:t>
      </w:r>
      <w:r w:rsidR="004A3EBE">
        <w:rPr>
          <w:lang w:val="en-GB" w:eastAsia="zh-CN"/>
        </w:rPr>
        <w:t>desirable</w:t>
      </w:r>
      <w:r w:rsidR="00CF06A9">
        <w:rPr>
          <w:lang w:val="en-GB" w:eastAsia="zh-CN"/>
        </w:rPr>
        <w:t xml:space="preserve"> that the DMRS occupies the same frequency as the data. For 3-subcarrier and 6 subcarrier resource unit, the Rel-13 NB-IoT multi-tone DMRS sequence can be reused. If 4-subcarrier resource unit is supported </w:t>
      </w:r>
      <w:r>
        <w:rPr>
          <w:lang w:val="en-GB" w:eastAsia="zh-CN"/>
        </w:rPr>
        <w:t xml:space="preserve">then </w:t>
      </w:r>
      <w:r w:rsidR="00CF06A9">
        <w:rPr>
          <w:lang w:val="en-GB" w:eastAsia="zh-CN"/>
        </w:rPr>
        <w:t xml:space="preserve">a new DMRS sequence with length 4 is needed which can be determined </w:t>
      </w:r>
      <w:r w:rsidR="00AC2162">
        <w:rPr>
          <w:lang w:val="en-GB" w:eastAsia="zh-CN"/>
        </w:rPr>
        <w:t xml:space="preserve">by </w:t>
      </w:r>
      <w:r w:rsidR="00CF06A9">
        <w:rPr>
          <w:lang w:val="en-GB" w:eastAsia="zh-CN"/>
        </w:rPr>
        <w:t xml:space="preserve">computer search to minimize the cross-correlation of the sequence. </w:t>
      </w:r>
      <w:r w:rsidR="00AC2162">
        <w:rPr>
          <w:lang w:val="en-GB" w:eastAsia="zh-CN"/>
        </w:rPr>
        <w:t>The time domain position of the DMRS symbol can be same as the legacy, e.g., the 4</w:t>
      </w:r>
      <w:r w:rsidR="00AC2162" w:rsidRPr="00AC2162">
        <w:rPr>
          <w:vertAlign w:val="superscript"/>
          <w:lang w:val="en-GB" w:eastAsia="zh-CN"/>
        </w:rPr>
        <w:t>th</w:t>
      </w:r>
      <w:r w:rsidR="00AC2162">
        <w:rPr>
          <w:lang w:val="en-GB" w:eastAsia="zh-CN"/>
        </w:rPr>
        <w:t xml:space="preserve"> symbol in normal CP and the 3</w:t>
      </w:r>
      <w:r w:rsidR="00AC2162" w:rsidRPr="00AC2162">
        <w:rPr>
          <w:vertAlign w:val="superscript"/>
          <w:lang w:val="en-GB" w:eastAsia="zh-CN"/>
        </w:rPr>
        <w:t>rd</w:t>
      </w:r>
      <w:r w:rsidR="00AC2162">
        <w:rPr>
          <w:lang w:val="en-GB" w:eastAsia="zh-CN"/>
        </w:rPr>
        <w:t xml:space="preserve"> symbol for extended CP. There is no need to increase the DMRS port density such as using more DMRS symbols per subframe.</w:t>
      </w:r>
    </w:p>
    <w:p w14:paraId="2DD846FE" w14:textId="629C1927" w:rsidR="00AC2162" w:rsidRDefault="00AC2162" w:rsidP="00AC2162">
      <w:pPr>
        <w:jc w:val="center"/>
        <w:rPr>
          <w:lang w:val="en-GB" w:eastAsia="zh-CN"/>
        </w:rPr>
      </w:pPr>
      <w:r w:rsidRPr="00AC2162">
        <w:rPr>
          <w:noProof/>
          <w:lang w:eastAsia="zh-CN"/>
        </w:rPr>
        <w:drawing>
          <wp:inline distT="0" distB="0" distL="0" distR="0" wp14:anchorId="21A046B6" wp14:editId="22A6D35E">
            <wp:extent cx="3351735" cy="1091603"/>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56141" cy="1093038"/>
                    </a:xfrm>
                    <a:prstGeom prst="rect">
                      <a:avLst/>
                    </a:prstGeom>
                    <a:noFill/>
                    <a:ln>
                      <a:noFill/>
                    </a:ln>
                  </pic:spPr>
                </pic:pic>
              </a:graphicData>
            </a:graphic>
          </wp:inline>
        </w:drawing>
      </w:r>
    </w:p>
    <w:p w14:paraId="3F2CDAD1" w14:textId="04BA0E76" w:rsidR="00AC2162" w:rsidRPr="006959E0" w:rsidRDefault="00AC2162" w:rsidP="00AC2162">
      <w:pPr>
        <w:jc w:val="center"/>
        <w:rPr>
          <w:b/>
          <w:lang w:val="en-GB" w:eastAsia="zh-CN"/>
        </w:rPr>
      </w:pPr>
      <w:r w:rsidRPr="006959E0">
        <w:rPr>
          <w:rFonts w:hint="eastAsia"/>
          <w:b/>
          <w:lang w:val="en-GB" w:eastAsia="zh-CN"/>
        </w:rPr>
        <w:t xml:space="preserve">Figure </w:t>
      </w:r>
      <w:r>
        <w:rPr>
          <w:b/>
          <w:lang w:val="en-GB" w:eastAsia="zh-CN"/>
        </w:rPr>
        <w:t>2</w:t>
      </w:r>
      <w:r w:rsidRPr="006959E0">
        <w:rPr>
          <w:rFonts w:hint="eastAsia"/>
          <w:b/>
          <w:lang w:val="en-GB" w:eastAsia="zh-CN"/>
        </w:rPr>
        <w:t xml:space="preserve">: </w:t>
      </w:r>
      <w:r>
        <w:rPr>
          <w:b/>
          <w:lang w:val="en-GB" w:eastAsia="zh-CN"/>
        </w:rPr>
        <w:t>UL DMRS for 4-subcarrier resource unit</w:t>
      </w:r>
    </w:p>
    <w:p w14:paraId="3AE46318" w14:textId="532C541E" w:rsidR="00AC2162" w:rsidRDefault="00AC2162" w:rsidP="00AC2162">
      <w:pPr>
        <w:rPr>
          <w:b/>
          <w:lang w:val="en-GB"/>
        </w:rPr>
      </w:pPr>
      <w:r w:rsidRPr="005648A0">
        <w:rPr>
          <w:b/>
          <w:u w:val="single"/>
          <w:lang w:val="en-GB"/>
        </w:rPr>
        <w:t xml:space="preserve">Proposal </w:t>
      </w:r>
      <w:r w:rsidR="002C2095">
        <w:rPr>
          <w:b/>
          <w:u w:val="single"/>
          <w:lang w:val="en-GB"/>
        </w:rPr>
        <w:t>7</w:t>
      </w:r>
      <w:r w:rsidRPr="005648A0">
        <w:rPr>
          <w:b/>
          <w:lang w:val="en-GB"/>
        </w:rPr>
        <w:t xml:space="preserve">: </w:t>
      </w:r>
      <w:r w:rsidR="00764AEB">
        <w:rPr>
          <w:b/>
          <w:lang w:val="en-GB"/>
        </w:rPr>
        <w:t>Reu</w:t>
      </w:r>
      <w:r>
        <w:rPr>
          <w:b/>
          <w:lang w:val="en-GB"/>
        </w:rPr>
        <w:t>se Rel-13 NB-IoT DMRS sequence</w:t>
      </w:r>
      <w:r w:rsidR="002C2095">
        <w:rPr>
          <w:b/>
          <w:lang w:val="en-GB"/>
        </w:rPr>
        <w:t xml:space="preserve">s if 3 and 6 subcarriers are supported or define new DMRS sequences if 2 and 4 subcarriers are supported. </w:t>
      </w:r>
      <w:r>
        <w:rPr>
          <w:b/>
          <w:lang w:val="en-GB"/>
        </w:rPr>
        <w:t xml:space="preserve"> </w:t>
      </w:r>
    </w:p>
    <w:p w14:paraId="68863A80" w14:textId="77777777" w:rsidR="00B603D9" w:rsidRDefault="00B603D9" w:rsidP="00A55AF1">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04111DBA" w:rsidR="00975ABF" w:rsidRDefault="00975ABF" w:rsidP="00975ABF">
      <w:pPr>
        <w:rPr>
          <w:lang w:val="en-GB"/>
        </w:rPr>
      </w:pPr>
      <w:r>
        <w:rPr>
          <w:lang w:val="en-GB"/>
        </w:rPr>
        <w:t>In this document, we consider</w:t>
      </w:r>
      <w:r w:rsidR="00077400">
        <w:rPr>
          <w:lang w:val="en-GB"/>
        </w:rPr>
        <w:t xml:space="preserve"> a</w:t>
      </w:r>
      <w:r>
        <w:rPr>
          <w:lang w:val="en-GB"/>
        </w:rPr>
        <w:t xml:space="preserve"> </w:t>
      </w:r>
      <w:r w:rsidR="00077400">
        <w:rPr>
          <w:lang w:val="en-GB"/>
        </w:rPr>
        <w:t xml:space="preserve">possible way to increase PUSCH spectral efficiency by </w:t>
      </w:r>
      <w:r w:rsidR="00BA2B01">
        <w:rPr>
          <w:lang w:val="en-GB"/>
        </w:rPr>
        <w:t>allowing</w:t>
      </w:r>
      <w:r w:rsidR="00077400">
        <w:rPr>
          <w:lang w:val="en-GB"/>
        </w:rPr>
        <w:t xml:space="preserve"> the sub-RB allocation for PUSCH in </w:t>
      </w:r>
      <w:r w:rsidR="00BA2B01">
        <w:rPr>
          <w:lang w:val="en-GB"/>
        </w:rPr>
        <w:t xml:space="preserve">eMTC similar to </w:t>
      </w:r>
      <w:r w:rsidR="00077400">
        <w:rPr>
          <w:lang w:val="en-GB"/>
        </w:rPr>
        <w:t>NB-IOT. In deep coverage scenario or in a high SNR scenario with low data rate, sub-</w:t>
      </w:r>
      <w:r w:rsidR="009C5BF4">
        <w:rPr>
          <w:lang w:val="en-GB"/>
        </w:rPr>
        <w:t>P</w:t>
      </w:r>
      <w:r w:rsidR="00077400">
        <w:rPr>
          <w:lang w:val="en-GB"/>
        </w:rPr>
        <w:t xml:space="preserve">RB allocation </w:t>
      </w:r>
      <w:r w:rsidR="00BA2B01">
        <w:rPr>
          <w:lang w:val="en-GB"/>
        </w:rPr>
        <w:t xml:space="preserve">may </w:t>
      </w:r>
      <w:r w:rsidR="00077400">
        <w:rPr>
          <w:lang w:val="en-GB"/>
        </w:rPr>
        <w:t xml:space="preserve">allow more UEs to be multiplexed in the same </w:t>
      </w:r>
      <w:r w:rsidR="009C5BF4">
        <w:rPr>
          <w:lang w:val="en-GB"/>
        </w:rPr>
        <w:t>P</w:t>
      </w:r>
      <w:r w:rsidR="00077400">
        <w:rPr>
          <w:lang w:val="en-GB"/>
        </w:rPr>
        <w:t>RBs and hence increase system user capacity. We therefore make the following proposal</w:t>
      </w:r>
      <w:r w:rsidR="003B10DA">
        <w:rPr>
          <w:lang w:val="en-GB"/>
        </w:rPr>
        <w:t>:</w:t>
      </w:r>
    </w:p>
    <w:p w14:paraId="5DB1254E" w14:textId="77777777" w:rsidR="00AC2162" w:rsidRDefault="00AC2162" w:rsidP="00AC2162">
      <w:pPr>
        <w:rPr>
          <w:b/>
          <w:lang w:val="en-GB"/>
        </w:rPr>
      </w:pPr>
      <w:r w:rsidRPr="005648A0">
        <w:rPr>
          <w:b/>
          <w:u w:val="single"/>
          <w:lang w:val="en-GB"/>
        </w:rPr>
        <w:lastRenderedPageBreak/>
        <w:t>Proposal 1</w:t>
      </w:r>
      <w:r w:rsidRPr="005648A0">
        <w:rPr>
          <w:b/>
          <w:lang w:val="en-GB"/>
        </w:rPr>
        <w:t>: Support sub-</w:t>
      </w:r>
      <w:r>
        <w:rPr>
          <w:b/>
          <w:lang w:val="en-GB"/>
        </w:rPr>
        <w:t>P</w:t>
      </w:r>
      <w:r w:rsidRPr="005648A0">
        <w:rPr>
          <w:b/>
          <w:lang w:val="en-GB"/>
        </w:rPr>
        <w:t xml:space="preserve">RB allocation in eMTC by adopting </w:t>
      </w:r>
      <w:r>
        <w:rPr>
          <w:b/>
          <w:lang w:val="en-GB"/>
        </w:rPr>
        <w:t>the resource unit</w:t>
      </w:r>
      <w:r w:rsidRPr="005648A0">
        <w:rPr>
          <w:b/>
          <w:lang w:val="en-GB"/>
        </w:rPr>
        <w:t xml:space="preserve"> design in NB-I</w:t>
      </w:r>
      <w:r>
        <w:rPr>
          <w:b/>
          <w:lang w:val="en-GB" w:eastAsia="zh-CN"/>
        </w:rPr>
        <w:t>o</w:t>
      </w:r>
      <w:r w:rsidRPr="005648A0">
        <w:rPr>
          <w:b/>
          <w:lang w:val="en-GB"/>
        </w:rPr>
        <w:t>T</w:t>
      </w:r>
      <w:r w:rsidRPr="00843F6C">
        <w:rPr>
          <w:b/>
          <w:lang w:val="en-GB"/>
        </w:rPr>
        <w:t>.</w:t>
      </w:r>
    </w:p>
    <w:p w14:paraId="2874B494" w14:textId="77777777" w:rsidR="002C2095" w:rsidRDefault="002C2095" w:rsidP="002C2095">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Down-select from the following two options for the supported number of subcarriers for sub-PRB allocation:</w:t>
      </w:r>
    </w:p>
    <w:p w14:paraId="204064F0" w14:textId="13BC9C20" w:rsidR="002C2095" w:rsidRPr="00D05A6C" w:rsidRDefault="00D05A6C" w:rsidP="002C2095">
      <w:pPr>
        <w:pStyle w:val="ListParagraph"/>
        <w:numPr>
          <w:ilvl w:val="0"/>
          <w:numId w:val="13"/>
        </w:numPr>
        <w:rPr>
          <w:rFonts w:ascii="Times New Roman" w:eastAsia="宋体" w:hAnsi="Times New Roman"/>
          <w:b/>
          <w:sz w:val="20"/>
          <w:szCs w:val="20"/>
          <w:lang w:val="en-GB"/>
        </w:rPr>
      </w:pPr>
      <w:r>
        <w:rPr>
          <w:rFonts w:ascii="Times New Roman" w:eastAsia="宋体" w:hAnsi="Times New Roman"/>
          <w:b/>
          <w:sz w:val="20"/>
          <w:szCs w:val="20"/>
          <w:lang w:val="en-GB"/>
        </w:rPr>
        <w:t xml:space="preserve">Option 1: </w:t>
      </w:r>
      <w:r w:rsidR="002C2095" w:rsidRPr="00D05A6C">
        <w:rPr>
          <w:rFonts w:ascii="Times New Roman" w:eastAsia="宋体" w:hAnsi="Times New Roman"/>
          <w:b/>
          <w:sz w:val="20"/>
          <w:szCs w:val="20"/>
          <w:lang w:val="en-GB"/>
        </w:rPr>
        <w:t xml:space="preserve">2 and 4 </w:t>
      </w:r>
      <w:r>
        <w:rPr>
          <w:rFonts w:ascii="Times New Roman" w:eastAsia="宋体" w:hAnsi="Times New Roman"/>
          <w:b/>
          <w:sz w:val="20"/>
          <w:szCs w:val="20"/>
          <w:lang w:val="en-GB"/>
        </w:rPr>
        <w:t>subcarriers</w:t>
      </w:r>
    </w:p>
    <w:p w14:paraId="616D167D" w14:textId="4E077965" w:rsidR="002C2095" w:rsidRPr="00D05A6C" w:rsidRDefault="00D05A6C" w:rsidP="00D05A6C">
      <w:pPr>
        <w:pStyle w:val="ListParagraph"/>
        <w:numPr>
          <w:ilvl w:val="0"/>
          <w:numId w:val="13"/>
        </w:numPr>
        <w:spacing w:after="180"/>
        <w:ind w:left="714" w:hanging="357"/>
        <w:rPr>
          <w:rFonts w:ascii="Times New Roman" w:eastAsia="宋体" w:hAnsi="Times New Roman"/>
          <w:b/>
          <w:sz w:val="20"/>
          <w:szCs w:val="20"/>
          <w:lang w:val="en-GB"/>
        </w:rPr>
      </w:pPr>
      <w:r>
        <w:rPr>
          <w:rFonts w:ascii="Times New Roman" w:eastAsia="宋体" w:hAnsi="Times New Roman"/>
          <w:b/>
          <w:sz w:val="20"/>
          <w:szCs w:val="20"/>
          <w:lang w:val="en-GB"/>
        </w:rPr>
        <w:t xml:space="preserve">Option 2: </w:t>
      </w:r>
      <w:r w:rsidR="002C2095" w:rsidRPr="00D05A6C">
        <w:rPr>
          <w:rFonts w:ascii="Times New Roman" w:eastAsia="宋体" w:hAnsi="Times New Roman"/>
          <w:b/>
          <w:sz w:val="20"/>
          <w:szCs w:val="20"/>
          <w:lang w:val="en-GB"/>
        </w:rPr>
        <w:t>3 and 6</w:t>
      </w:r>
      <w:r>
        <w:rPr>
          <w:rFonts w:ascii="Times New Roman" w:eastAsia="宋体" w:hAnsi="Times New Roman"/>
          <w:b/>
          <w:sz w:val="20"/>
          <w:szCs w:val="20"/>
          <w:lang w:val="en-GB"/>
        </w:rPr>
        <w:t xml:space="preserve"> subcarriers</w:t>
      </w:r>
    </w:p>
    <w:p w14:paraId="159E9B4F" w14:textId="1CEC6B2C" w:rsidR="002C2095" w:rsidRDefault="002C2095" w:rsidP="002C2095">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Adopt Table 1 for the resource assignment indication when the sub-PRB mode is configured.</w:t>
      </w:r>
    </w:p>
    <w:p w14:paraId="23F6D663" w14:textId="77777777" w:rsidR="002C2095" w:rsidRDefault="002C2095" w:rsidP="002C2095">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16QAM shall be supported for at least some of the UL sub-PRB resource allocation.</w:t>
      </w:r>
    </w:p>
    <w:p w14:paraId="4F90EB00" w14:textId="77777777" w:rsidR="002C2095" w:rsidRPr="00C763B6" w:rsidRDefault="002C2095" w:rsidP="002C2095">
      <w:pPr>
        <w:jc w:val="both"/>
        <w:rPr>
          <w:b/>
          <w:lang w:val="en-GB" w:eastAsia="zh-CN"/>
        </w:rPr>
      </w:pPr>
      <w:r w:rsidRPr="00C763B6">
        <w:rPr>
          <w:b/>
          <w:u w:val="single"/>
          <w:lang w:val="en-GB" w:eastAsia="zh-CN"/>
        </w:rPr>
        <w:t>Proposal 5</w:t>
      </w:r>
      <w:r>
        <w:rPr>
          <w:lang w:val="en-GB" w:eastAsia="zh-CN"/>
        </w:rPr>
        <w:t xml:space="preserve">: </w:t>
      </w:r>
      <w:r w:rsidRPr="00C763B6">
        <w:rPr>
          <w:b/>
          <w:lang w:val="en-GB"/>
        </w:rPr>
        <w:t xml:space="preserve">Adopt TPSK for 2 or 3 tone allocations. </w:t>
      </w:r>
    </w:p>
    <w:p w14:paraId="05942C2E" w14:textId="454FCF60" w:rsidR="002C2095" w:rsidRPr="00D05A6C" w:rsidRDefault="002C2095" w:rsidP="00D05A6C">
      <w:pPr>
        <w:pStyle w:val="ListParagraph"/>
        <w:numPr>
          <w:ilvl w:val="0"/>
          <w:numId w:val="13"/>
        </w:numPr>
        <w:spacing w:after="180"/>
        <w:ind w:left="714" w:hanging="357"/>
        <w:rPr>
          <w:rFonts w:ascii="Times New Roman" w:eastAsia="宋体" w:hAnsi="Times New Roman"/>
          <w:b/>
          <w:sz w:val="20"/>
          <w:szCs w:val="20"/>
          <w:lang w:val="en-GB"/>
        </w:rPr>
      </w:pPr>
      <w:r w:rsidRPr="00D05A6C">
        <w:rPr>
          <w:rFonts w:ascii="Times New Roman" w:eastAsia="宋体" w:hAnsi="Times New Roman"/>
          <w:b/>
          <w:sz w:val="20"/>
          <w:szCs w:val="20"/>
          <w:lang w:val="en-GB"/>
        </w:rPr>
        <w:t xml:space="preserve">FFS if phase shift </w:t>
      </w:r>
      <w:r w:rsidR="00D05A6C">
        <w:rPr>
          <w:rFonts w:ascii="Times New Roman" w:eastAsia="宋体" w:hAnsi="Times New Roman"/>
          <w:b/>
          <w:sz w:val="20"/>
          <w:szCs w:val="20"/>
          <w:lang w:val="en-GB"/>
        </w:rPr>
        <w:t>at symbol boundaries is applied</w:t>
      </w:r>
    </w:p>
    <w:p w14:paraId="4C4D23CA" w14:textId="77777777" w:rsidR="002C2095" w:rsidRDefault="002C2095" w:rsidP="002C2095">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 xml:space="preserve">The MCS/TBS mapping table for the sub-PRB allocation can be based on the existing eMTC with some entries associated with 16QAM redirected to new definition for TPSK in case TPSK is supported for the allocation. </w:t>
      </w:r>
    </w:p>
    <w:p w14:paraId="3EB15AA0" w14:textId="77777777" w:rsidR="002C2095" w:rsidRDefault="002C2095" w:rsidP="002C2095">
      <w:pPr>
        <w:rPr>
          <w:b/>
          <w:lang w:val="en-GB"/>
        </w:rPr>
      </w:pPr>
      <w:r w:rsidRPr="005648A0">
        <w:rPr>
          <w:b/>
          <w:u w:val="single"/>
          <w:lang w:val="en-GB"/>
        </w:rPr>
        <w:t xml:space="preserve">Proposal </w:t>
      </w:r>
      <w:r>
        <w:rPr>
          <w:b/>
          <w:u w:val="single"/>
          <w:lang w:val="en-GB"/>
        </w:rPr>
        <w:t>7</w:t>
      </w:r>
      <w:r w:rsidRPr="005648A0">
        <w:rPr>
          <w:b/>
          <w:lang w:val="en-GB"/>
        </w:rPr>
        <w:t xml:space="preserve">: </w:t>
      </w:r>
      <w:r>
        <w:rPr>
          <w:b/>
          <w:lang w:val="en-GB"/>
        </w:rPr>
        <w:t xml:space="preserve">Reuse Rel-13 NB-IoT DMRS sequences if 3 and 6 subcarriers are supported or define new DMRS sequences if 2 and 4 subcarriers are supported.  </w:t>
      </w:r>
    </w:p>
    <w:p w14:paraId="7B451C47" w14:textId="77777777" w:rsidR="003B10DA" w:rsidRPr="00764AEB" w:rsidRDefault="003B10DA" w:rsidP="00F41AFE">
      <w:pPr>
        <w:rPr>
          <w:lang w:val="en-GB"/>
        </w:rPr>
      </w:pPr>
    </w:p>
    <w:p w14:paraId="26881B4C" w14:textId="77777777" w:rsidR="00E523F3" w:rsidRDefault="00E523F3" w:rsidP="00E523F3">
      <w:pPr>
        <w:pStyle w:val="Heading1"/>
        <w:rPr>
          <w:lang w:val="en-US"/>
        </w:rPr>
      </w:pPr>
      <w:r w:rsidRPr="000A64D8">
        <w:rPr>
          <w:lang w:val="en-US"/>
        </w:rPr>
        <w:t>References</w:t>
      </w:r>
    </w:p>
    <w:p w14:paraId="08DFF2ED" w14:textId="3ACFBD64" w:rsidR="00B823C6" w:rsidRPr="00EE1C09" w:rsidRDefault="00B823C6" w:rsidP="00B823C6">
      <w:r>
        <w:t>[1] 3GPP RAN1#88bis, Chairman’s notes</w:t>
      </w:r>
    </w:p>
    <w:p w14:paraId="43724F34" w14:textId="1B59232B" w:rsidR="00EE1C09" w:rsidRDefault="00EE1C09" w:rsidP="00EE1C09">
      <w:r>
        <w:t>[</w:t>
      </w:r>
      <w:r w:rsidR="00B823C6">
        <w:t>2</w:t>
      </w:r>
      <w:r>
        <w:t xml:space="preserve">] 3GPP </w:t>
      </w:r>
      <w:r w:rsidRPr="00EE1C09">
        <w:t>3GPP TS 36.213 V14.1.0 (2016-12)</w:t>
      </w:r>
    </w:p>
    <w:p w14:paraId="224C7999" w14:textId="63597756" w:rsidR="00597BD6" w:rsidRDefault="00597BD6" w:rsidP="00D05A6C">
      <w:r>
        <w:t>[3] R1-1718139, “</w:t>
      </w:r>
      <w:r w:rsidRPr="00597BD6">
        <w:t>Modulation enhancements for eMTC</w:t>
      </w:r>
      <w:r>
        <w:t xml:space="preserve">”, </w:t>
      </w:r>
      <w:r w:rsidRPr="001D0F79">
        <w:t xml:space="preserve">Qualcomm Incorporated, 3GPP TSG RAN </w:t>
      </w:r>
      <w:r>
        <w:t>90bis</w:t>
      </w:r>
      <w:r w:rsidRPr="001D0F79">
        <w:t xml:space="preserve">, </w:t>
      </w:r>
      <w:r>
        <w:t>Prague</w:t>
      </w:r>
      <w:r w:rsidRPr="001D0F79">
        <w:t xml:space="preserve">, </w:t>
      </w:r>
      <w:r>
        <w:t>Cezchia</w:t>
      </w:r>
      <w:r w:rsidRPr="001D0F79">
        <w:t xml:space="preserve">, </w:t>
      </w:r>
      <w:r>
        <w:t>Oct. 2017</w:t>
      </w:r>
      <w:r w:rsidRPr="001D0F79">
        <w:t xml:space="preserve">. </w:t>
      </w:r>
    </w:p>
    <w:p w14:paraId="1F358DD3" w14:textId="230E3E4A" w:rsidR="00597BD6" w:rsidRDefault="00597BD6" w:rsidP="00D05A6C">
      <w:r>
        <w:t>[4] R1-1718150, “</w:t>
      </w:r>
      <w:r w:rsidRPr="00597BD6">
        <w:t xml:space="preserve">Modulation enhancements for </w:t>
      </w:r>
      <w:r>
        <w:t xml:space="preserve">NB-IoT”, </w:t>
      </w:r>
      <w:r w:rsidRPr="001D0F79">
        <w:t xml:space="preserve">Qualcomm Incorporated, 3GPP TSG RAN </w:t>
      </w:r>
      <w:r>
        <w:t>90bis</w:t>
      </w:r>
      <w:r w:rsidRPr="001D0F79">
        <w:t xml:space="preserve">, </w:t>
      </w:r>
      <w:r>
        <w:t>Prague</w:t>
      </w:r>
      <w:r w:rsidRPr="001D0F79">
        <w:t xml:space="preserve">, </w:t>
      </w:r>
      <w:r>
        <w:t>Cezchia</w:t>
      </w:r>
      <w:r w:rsidRPr="001D0F79">
        <w:t xml:space="preserve">, </w:t>
      </w:r>
      <w:r>
        <w:t>Oct. 2017</w:t>
      </w:r>
      <w:r w:rsidRPr="001D0F79">
        <w:t xml:space="preserve">. </w:t>
      </w:r>
    </w:p>
    <w:p w14:paraId="45A6F92B" w14:textId="1A5263B2" w:rsidR="00597BD6" w:rsidRPr="00EE1C09" w:rsidRDefault="00D05A6C" w:rsidP="00EE1C09">
      <w:r>
        <w:t xml:space="preserve">[5] R1-1712803, “Increased PUSCH spectrum efficiency”, </w:t>
      </w:r>
      <w:r w:rsidRPr="001D0F79">
        <w:t>Qualcomm Incorporated, 3GPP TSG RAN</w:t>
      </w:r>
      <w:r>
        <w:t>1#90</w:t>
      </w:r>
      <w:r w:rsidRPr="001D0F79">
        <w:t xml:space="preserve">, </w:t>
      </w:r>
      <w:r>
        <w:t>Prague</w:t>
      </w:r>
      <w:r w:rsidRPr="001D0F79">
        <w:t xml:space="preserve">, </w:t>
      </w:r>
      <w:r>
        <w:t>Cezchia</w:t>
      </w:r>
      <w:r w:rsidRPr="001D0F79">
        <w:t xml:space="preserve">, </w:t>
      </w:r>
      <w:r>
        <w:t>Aug. 2017</w:t>
      </w:r>
      <w:r w:rsidRPr="001D0F79">
        <w:t xml:space="preserve">. </w:t>
      </w:r>
      <w:bookmarkStart w:id="10" w:name="_GoBack"/>
      <w:bookmarkEnd w:id="10"/>
    </w:p>
    <w:sectPr w:rsidR="00597BD6" w:rsidRPr="00EE1C09"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78A61" w14:textId="77777777" w:rsidR="00E23572" w:rsidRDefault="00E23572">
      <w:r>
        <w:separator/>
      </w:r>
    </w:p>
  </w:endnote>
  <w:endnote w:type="continuationSeparator" w:id="0">
    <w:p w14:paraId="1AED611C" w14:textId="77777777" w:rsidR="00E23572" w:rsidRDefault="00E23572">
      <w:r>
        <w:continuationSeparator/>
      </w:r>
    </w:p>
  </w:endnote>
  <w:endnote w:type="continuationNotice" w:id="1">
    <w:p w14:paraId="3592D3FF" w14:textId="77777777" w:rsidR="00E23572" w:rsidRDefault="00E23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CA121F0"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05A6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5A6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AB7E8" w14:textId="77777777" w:rsidR="00E23572" w:rsidRDefault="00E23572">
      <w:r>
        <w:separator/>
      </w:r>
    </w:p>
  </w:footnote>
  <w:footnote w:type="continuationSeparator" w:id="0">
    <w:p w14:paraId="2161DBA8" w14:textId="77777777" w:rsidR="00E23572" w:rsidRDefault="00E23572">
      <w:r>
        <w:continuationSeparator/>
      </w:r>
    </w:p>
  </w:footnote>
  <w:footnote w:type="continuationNotice" w:id="1">
    <w:p w14:paraId="74415662" w14:textId="77777777" w:rsidR="00E23572" w:rsidRDefault="00E23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3C11B3"/>
    <w:multiLevelType w:val="hybridMultilevel"/>
    <w:tmpl w:val="2C5C54FA"/>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3450A59"/>
    <w:multiLevelType w:val="hybridMultilevel"/>
    <w:tmpl w:val="3CDE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7A7F1D45"/>
    <w:multiLevelType w:val="hybridMultilevel"/>
    <w:tmpl w:val="2E00291E"/>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4"/>
  </w:num>
  <w:num w:numId="2">
    <w:abstractNumId w:val="1"/>
  </w:num>
  <w:num w:numId="3">
    <w:abstractNumId w:val="7"/>
  </w:num>
  <w:num w:numId="4">
    <w:abstractNumId w:val="6"/>
  </w:num>
  <w:num w:numId="5">
    <w:abstractNumId w:val="11"/>
  </w:num>
  <w:num w:numId="6">
    <w:abstractNumId w:val="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1"/>
  </w:num>
  <w:num w:numId="13">
    <w:abstractNumId w:val="5"/>
  </w:num>
  <w:num w:numId="14">
    <w:abstractNumId w:val="12"/>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CBE"/>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06D"/>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DE4"/>
    <w:rsid w:val="001232D2"/>
    <w:rsid w:val="001233D7"/>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DD"/>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2FFD"/>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2D"/>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4F5"/>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4E75"/>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095"/>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67102"/>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B5"/>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38FF"/>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D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E7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566"/>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5B1B"/>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A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AEB"/>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481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2A3"/>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C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234"/>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D12"/>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4AA"/>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B86"/>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F5"/>
    <w:rsid w:val="009B1823"/>
    <w:rsid w:val="009B2E47"/>
    <w:rsid w:val="009B30CC"/>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D17"/>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6ED"/>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CC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5865"/>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4A3"/>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A6C"/>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192"/>
    <w:rsid w:val="00D1624D"/>
    <w:rsid w:val="00D17869"/>
    <w:rsid w:val="00D1792B"/>
    <w:rsid w:val="00D17F37"/>
    <w:rsid w:val="00D202D3"/>
    <w:rsid w:val="00D2135C"/>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77"/>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BD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572"/>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4EE1"/>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0D1D0DF-E14B-4FEE-A269-3A07A783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2</cp:revision>
  <cp:lastPrinted>2014-11-07T05:38:00Z</cp:lastPrinted>
  <dcterms:created xsi:type="dcterms:W3CDTF">2017-09-30T03:18:00Z</dcterms:created>
  <dcterms:modified xsi:type="dcterms:W3CDTF">2017-09-30T03:18:00Z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-1781397157</vt:i4>
  </property>
  <property fmtid="{D5CDD505-2E9C-101B-9397-08002B2CF9AE}" pid="3" name="_NewReviewCycle">
    <vt:lpwstr/>
  </property>
  <property fmtid="{D5CDD505-2E9C-101B-9397-08002B2CF9AE}" pid="4" name="_EmailSubject">
    <vt:lpwstr>R1-1718138</vt:lpwstr>
  </property>
  <property fmtid="{D5CDD505-2E9C-101B-9397-08002B2CF9AE}" pid="5" name="_AuthorEmail">
    <vt:lpwstr>wangxiao@qti.qualcomm.com</vt:lpwstr>
  </property>
  <property fmtid="{D5CDD505-2E9C-101B-9397-08002B2CF9AE}" pid="6" name="_AuthorEmailDisplayName">
    <vt:lpwstr>Xiao feng Wang</vt:lpwstr>
  </property>
  <property fmtid="{D5CDD505-2E9C-101B-9397-08002B2CF9AE}" pid="7" name="_PreviousAdHocReviewCycleID">
    <vt:i4>-1509924978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ies>
</file>